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Vulnerable Persons</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Vulnerable Persons</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Vulnerable Persons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New and expectant mothers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Pregnant or new mothers and the unborn / nursing child - harm from certain tasks, prolonged posture, stress or unsuitable workstation.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Individual risk assessment carried out on notification</w:t>
            </w:r>
          </w:p>
          <w:p>
            <w:pPr>
              <w:pStyle w:val="ListParagraph"/>
              <w:numPr>
                <w:ilvl w:val="0"/>
                <w:numId w:val="1"/>
              </w:numPr>
              <w:spacing w:after="20" w:line="240"/>
            </w:pPr>
            <w:r>
              <w:rPr>
                <w:rFonts w:ascii="Calibri" w:cs="Calibri" w:eastAsia="Calibri" w:hAnsi="Calibri"/>
                <w:color w:val="1A1A1A"/>
                <w:sz w:val="15"/>
                <w:szCs w:val="15"/>
              </w:rPr>
              <w:t xml:space="preserve">Adjustments to duties, hours and rest</w:t>
            </w:r>
          </w:p>
          <w:p>
            <w:pPr>
              <w:pStyle w:val="ListParagraph"/>
              <w:numPr>
                <w:ilvl w:val="0"/>
                <w:numId w:val="1"/>
              </w:numPr>
              <w:spacing w:after="20" w:line="240"/>
            </w:pPr>
            <w:r>
              <w:rPr>
                <w:rFonts w:ascii="Calibri" w:cs="Calibri" w:eastAsia="Calibri" w:hAnsi="Calibri"/>
                <w:color w:val="1A1A1A"/>
                <w:sz w:val="15"/>
                <w:szCs w:val="15"/>
              </w:rPr>
              <w:t xml:space="preserve">DSE reassessed</w:t>
            </w:r>
          </w:p>
          <w:p>
            <w:pPr>
              <w:pStyle w:val="ListParagraph"/>
              <w:numPr>
                <w:ilvl w:val="0"/>
                <w:numId w:val="1"/>
              </w:numPr>
              <w:spacing w:after="20" w:line="240"/>
            </w:pPr>
            <w:r>
              <w:rPr>
                <w:rFonts w:ascii="Calibri" w:cs="Calibri" w:eastAsia="Calibri" w:hAnsi="Calibri"/>
                <w:color w:val="1A1A1A"/>
                <w:sz w:val="15"/>
                <w:szCs w:val="15"/>
              </w:rPr>
              <w:t xml:space="preserve">Identified risks removed or reduced</w:t>
            </w:r>
          </w:p>
          <w:p>
            <w:pPr>
              <w:pStyle w:val="ListParagraph"/>
              <w:numPr>
                <w:ilvl w:val="0"/>
                <w:numId w:val="1"/>
              </w:numPr>
              <w:spacing w:after="20" w:line="240"/>
            </w:pPr>
            <w:r>
              <w:rPr>
                <w:rFonts w:ascii="Calibri" w:cs="Calibri" w:eastAsia="Calibri" w:hAnsi="Calibri"/>
                <w:color w:val="1A1A1A"/>
                <w:sz w:val="15"/>
                <w:szCs w:val="15"/>
              </w:rPr>
              <w:t xml:space="preserve">Carry out the individual assessment promptly on notification</w:t>
            </w:r>
          </w:p>
          <w:p>
            <w:pPr>
              <w:pStyle w:val="ListParagraph"/>
              <w:numPr>
                <w:ilvl w:val="0"/>
                <w:numId w:val="1"/>
              </w:numPr>
              <w:spacing w:after="20" w:line="240"/>
            </w:pPr>
            <w:r>
              <w:rPr>
                <w:rFonts w:ascii="Calibri" w:cs="Calibri" w:eastAsia="Calibri" w:hAnsi="Calibri"/>
                <w:color w:val="1A1A1A"/>
                <w:sz w:val="15"/>
                <w:szCs w:val="15"/>
              </w:rPr>
              <w:t xml:space="preserve">Review at each stage of pregnancy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Young persons and new starters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Young or inexperienced workers - injury through inexperience or lack of awareness.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Structured induction and supervision</w:t>
            </w:r>
          </w:p>
          <w:p>
            <w:pPr>
              <w:pStyle w:val="ListParagraph"/>
              <w:numPr>
                <w:ilvl w:val="0"/>
                <w:numId w:val="1"/>
              </w:numPr>
              <w:spacing w:after="20" w:line="240"/>
            </w:pPr>
            <w:r>
              <w:rPr>
                <w:rFonts w:ascii="Calibri" w:cs="Calibri" w:eastAsia="Calibri" w:hAnsi="Calibri"/>
                <w:color w:val="1A1A1A"/>
                <w:sz w:val="15"/>
                <w:szCs w:val="15"/>
              </w:rPr>
              <w:t xml:space="preserve">Tasks matched to capability</w:t>
            </w:r>
          </w:p>
          <w:p>
            <w:pPr>
              <w:pStyle w:val="ListParagraph"/>
              <w:numPr>
                <w:ilvl w:val="0"/>
                <w:numId w:val="1"/>
              </w:numPr>
              <w:spacing w:after="20" w:line="240"/>
            </w:pPr>
            <w:r>
              <w:rPr>
                <w:rFonts w:ascii="Calibri" w:cs="Calibri" w:eastAsia="Calibri" w:hAnsi="Calibri"/>
                <w:color w:val="1A1A1A"/>
                <w:sz w:val="15"/>
                <w:szCs w:val="15"/>
              </w:rPr>
              <w:t xml:space="preserve">Risks explained clearly</w:t>
            </w:r>
          </w:p>
          <w:p>
            <w:pPr>
              <w:pStyle w:val="ListParagraph"/>
              <w:numPr>
                <w:ilvl w:val="0"/>
                <w:numId w:val="1"/>
              </w:numPr>
              <w:spacing w:after="20" w:line="240"/>
            </w:pPr>
            <w:r>
              <w:rPr>
                <w:rFonts w:ascii="Calibri" w:cs="Calibri" w:eastAsia="Calibri" w:hAnsi="Calibri"/>
                <w:color w:val="1A1A1A"/>
                <w:sz w:val="15"/>
                <w:szCs w:val="15"/>
              </w:rPr>
              <w:t xml:space="preserve">Extra monitoring during the early period</w:t>
            </w:r>
          </w:p>
          <w:p>
            <w:pPr>
              <w:pStyle w:val="ListParagraph"/>
              <w:numPr>
                <w:ilvl w:val="0"/>
                <w:numId w:val="1"/>
              </w:numPr>
              <w:spacing w:after="20" w:line="240"/>
            </w:pPr>
            <w:r>
              <w:rPr>
                <w:rFonts w:ascii="Calibri" w:cs="Calibri" w:eastAsia="Calibri" w:hAnsi="Calibri"/>
                <w:color w:val="1A1A1A"/>
                <w:sz w:val="15"/>
                <w:szCs w:val="15"/>
              </w:rPr>
              <w:t xml:space="preserve">Use an induction checklist</w:t>
            </w:r>
          </w:p>
          <w:p>
            <w:pPr>
              <w:pStyle w:val="ListParagraph"/>
              <w:numPr>
                <w:ilvl w:val="0"/>
                <w:numId w:val="1"/>
              </w:numPr>
              <w:spacing w:after="20" w:line="240"/>
            </w:pPr>
            <w:r>
              <w:rPr>
                <w:rFonts w:ascii="Calibri" w:cs="Calibri" w:eastAsia="Calibri" w:hAnsi="Calibri"/>
                <w:color w:val="1A1A1A"/>
                <w:sz w:val="15"/>
                <w:szCs w:val="15"/>
              </w:rPr>
              <w:t xml:space="preserve">Assign a mentor</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Disabled persons and those with health conditions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Disabled staff and visitors - barriers to safe working or difficulty evacuating.</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Reasonable adjustments made</w:t>
            </w:r>
          </w:p>
          <w:p>
            <w:pPr>
              <w:pStyle w:val="ListParagraph"/>
              <w:numPr>
                <w:ilvl w:val="0"/>
                <w:numId w:val="1"/>
              </w:numPr>
              <w:spacing w:after="20" w:line="240"/>
            </w:pPr>
            <w:r>
              <w:rPr>
                <w:rFonts w:ascii="Calibri" w:cs="Calibri" w:eastAsia="Calibri" w:hAnsi="Calibri"/>
                <w:color w:val="1A1A1A"/>
                <w:sz w:val="15"/>
                <w:szCs w:val="15"/>
              </w:rPr>
              <w:t xml:space="preserve">Accessibility considered</w:t>
            </w:r>
          </w:p>
          <w:p>
            <w:pPr>
              <w:pStyle w:val="ListParagraph"/>
              <w:numPr>
                <w:ilvl w:val="0"/>
                <w:numId w:val="1"/>
              </w:numPr>
              <w:spacing w:after="20" w:line="240"/>
            </w:pPr>
            <w:r>
              <w:rPr>
                <w:rFonts w:ascii="Calibri" w:cs="Calibri" w:eastAsia="Calibri" w:hAnsi="Calibri"/>
                <w:color w:val="1A1A1A"/>
                <w:sz w:val="15"/>
                <w:szCs w:val="15"/>
              </w:rPr>
              <w:t xml:space="preserve">PEEPs prepared where evacuation assistance is needed (see Fire RA)</w:t>
            </w:r>
          </w:p>
          <w:p>
            <w:pPr>
              <w:pStyle w:val="ListParagraph"/>
              <w:numPr>
                <w:ilvl w:val="0"/>
                <w:numId w:val="1"/>
              </w:numPr>
              <w:spacing w:after="20" w:line="240"/>
            </w:pPr>
            <w:r>
              <w:rPr>
                <w:rFonts w:ascii="Calibri" w:cs="Calibri" w:eastAsia="Calibri" w:hAnsi="Calibri"/>
                <w:color w:val="1A1A1A"/>
                <w:sz w:val="15"/>
                <w:szCs w:val="15"/>
              </w:rPr>
              <w:t xml:space="preserve">Individual needs discussed</w:t>
            </w:r>
          </w:p>
          <w:p>
            <w:pPr>
              <w:pStyle w:val="ListParagraph"/>
              <w:numPr>
                <w:ilvl w:val="0"/>
                <w:numId w:val="1"/>
              </w:numPr>
              <w:spacing w:after="20" w:line="240"/>
            </w:pPr>
            <w:r>
              <w:rPr>
                <w:rFonts w:ascii="Calibri" w:cs="Calibri" w:eastAsia="Calibri" w:hAnsi="Calibri"/>
                <w:color w:val="1A1A1A"/>
                <w:sz w:val="15"/>
                <w:szCs w:val="15"/>
              </w:rPr>
              <w:t xml:space="preserve">Complete PEEPs for those identified</w:t>
            </w:r>
          </w:p>
          <w:p>
            <w:pPr>
              <w:pStyle w:val="ListParagraph"/>
              <w:numPr>
                <w:ilvl w:val="0"/>
                <w:numId w:val="1"/>
              </w:numPr>
              <w:spacing w:after="20" w:line="240"/>
            </w:pPr>
            <w:r>
              <w:rPr>
                <w:rFonts w:ascii="Calibri" w:cs="Calibri" w:eastAsia="Calibri" w:hAnsi="Calibri"/>
                <w:color w:val="1A1A1A"/>
                <w:sz w:val="15"/>
                <w:szCs w:val="15"/>
              </w:rPr>
              <w:t xml:space="preserve">Review access arrangements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Lone workers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Lone workers - no immediate help if an incident occurs, plus security risk.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Lone working procedure</w:t>
            </w:r>
          </w:p>
          <w:p>
            <w:pPr>
              <w:pStyle w:val="ListParagraph"/>
              <w:numPr>
                <w:ilvl w:val="0"/>
                <w:numId w:val="1"/>
              </w:numPr>
              <w:spacing w:after="20" w:line="240"/>
            </w:pPr>
            <w:r>
              <w:rPr>
                <w:rFonts w:ascii="Calibri" w:cs="Calibri" w:eastAsia="Calibri" w:hAnsi="Calibri"/>
                <w:color w:val="1A1A1A"/>
                <w:sz w:val="15"/>
                <w:szCs w:val="15"/>
              </w:rPr>
              <w:t xml:space="preserve">Check-in system</w:t>
            </w:r>
          </w:p>
          <w:p>
            <w:pPr>
              <w:pStyle w:val="ListParagraph"/>
              <w:numPr>
                <w:ilvl w:val="0"/>
                <w:numId w:val="1"/>
              </w:numPr>
              <w:spacing w:after="20" w:line="240"/>
            </w:pPr>
            <w:r>
              <w:rPr>
                <w:rFonts w:ascii="Calibri" w:cs="Calibri" w:eastAsia="Calibri" w:hAnsi="Calibri"/>
                <w:color w:val="1A1A1A"/>
                <w:sz w:val="15"/>
                <w:szCs w:val="15"/>
              </w:rPr>
              <w:t xml:space="preserve">Means to raise the alarm</w:t>
            </w:r>
          </w:p>
          <w:p>
            <w:pPr>
              <w:pStyle w:val="ListParagraph"/>
              <w:numPr>
                <w:ilvl w:val="0"/>
                <w:numId w:val="1"/>
              </w:numPr>
              <w:spacing w:after="20" w:line="240"/>
            </w:pPr>
            <w:r>
              <w:rPr>
                <w:rFonts w:ascii="Calibri" w:cs="Calibri" w:eastAsia="Calibri" w:hAnsi="Calibri"/>
                <w:color w:val="1A1A1A"/>
                <w:sz w:val="15"/>
                <w:szCs w:val="15"/>
              </w:rPr>
              <w:t xml:space="preserve">Only risk-assessed tasks undertaken alone</w:t>
            </w:r>
          </w:p>
          <w:p>
            <w:pPr>
              <w:pStyle w:val="ListParagraph"/>
              <w:numPr>
                <w:ilvl w:val="0"/>
                <w:numId w:val="1"/>
              </w:numPr>
              <w:spacing w:after="20" w:line="240"/>
            </w:pPr>
            <w:r>
              <w:rPr>
                <w:rFonts w:ascii="Calibri" w:cs="Calibri" w:eastAsia="Calibri" w:hAnsi="Calibri"/>
                <w:color w:val="1A1A1A"/>
                <w:sz w:val="15"/>
                <w:szCs w:val="15"/>
              </w:rPr>
              <w:t xml:space="preserve">Confirm check-in and escalation</w:t>
            </w:r>
          </w:p>
          <w:p>
            <w:pPr>
              <w:pStyle w:val="ListParagraph"/>
              <w:numPr>
                <w:ilvl w:val="0"/>
                <w:numId w:val="1"/>
              </w:numPr>
              <w:spacing w:after="20" w:line="240"/>
            </w:pPr>
            <w:r>
              <w:rPr>
                <w:rFonts w:ascii="Calibri" w:cs="Calibri" w:eastAsia="Calibri" w:hAnsi="Calibri"/>
                <w:color w:val="1A1A1A"/>
                <w:sz w:val="15"/>
                <w:szCs w:val="15"/>
              </w:rPr>
              <w:t xml:space="preserve">Consider a lone-worker device for higher-risk lone work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Older workers and those returning from illness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aggravation of a condition on return to work or with changing capability.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Return-to-work discussions held</w:t>
            </w:r>
          </w:p>
          <w:p>
            <w:pPr>
              <w:pStyle w:val="ListParagraph"/>
              <w:numPr>
                <w:ilvl w:val="0"/>
                <w:numId w:val="1"/>
              </w:numPr>
              <w:spacing w:after="20" w:line="240"/>
            </w:pPr>
            <w:r>
              <w:rPr>
                <w:rFonts w:ascii="Calibri" w:cs="Calibri" w:eastAsia="Calibri" w:hAnsi="Calibri"/>
                <w:color w:val="1A1A1A"/>
                <w:sz w:val="15"/>
                <w:szCs w:val="15"/>
              </w:rPr>
              <w:t xml:space="preserve">Phased return or adjustments where needed</w:t>
            </w:r>
          </w:p>
          <w:p>
            <w:pPr>
              <w:pStyle w:val="ListParagraph"/>
              <w:numPr>
                <w:ilvl w:val="0"/>
                <w:numId w:val="1"/>
              </w:numPr>
              <w:spacing w:after="20" w:line="240"/>
            </w:pPr>
            <w:r>
              <w:rPr>
                <w:rFonts w:ascii="Calibri" w:cs="Calibri" w:eastAsia="Calibri" w:hAnsi="Calibri"/>
                <w:color w:val="1A1A1A"/>
                <w:sz w:val="15"/>
                <w:szCs w:val="15"/>
              </w:rPr>
              <w:t xml:space="preserve">Tasks matched to capability</w:t>
            </w:r>
          </w:p>
          <w:p>
            <w:pPr>
              <w:pStyle w:val="ListParagraph"/>
              <w:numPr>
                <w:ilvl w:val="0"/>
                <w:numId w:val="1"/>
              </w:numPr>
              <w:spacing w:after="20" w:line="240"/>
            </w:pPr>
            <w:r>
              <w:rPr>
                <w:rFonts w:ascii="Calibri" w:cs="Calibri" w:eastAsia="Calibri" w:hAnsi="Calibri"/>
                <w:color w:val="1A1A1A"/>
                <w:sz w:val="15"/>
                <w:szCs w:val="15"/>
              </w:rPr>
              <w:t xml:space="preserve">Individual assessment on return</w:t>
            </w:r>
          </w:p>
          <w:p>
            <w:pPr>
              <w:pStyle w:val="ListParagraph"/>
              <w:numPr>
                <w:ilvl w:val="0"/>
                <w:numId w:val="1"/>
              </w:numPr>
              <w:spacing w:after="20" w:line="240"/>
            </w:pPr>
            <w:r>
              <w:rPr>
                <w:rFonts w:ascii="Calibri" w:cs="Calibri" w:eastAsia="Calibri" w:hAnsi="Calibri"/>
                <w:color w:val="1A1A1A"/>
                <w:sz w:val="15"/>
                <w:szCs w:val="15"/>
              </w:rPr>
              <w:t xml:space="preserve">Occupational health referral where appropriate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Visitors and contractors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Visitors and contractors unfamiliar with the premises - unaware of hazards or emergency arrangements.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Sign-in and sign-out system</w:t>
            </w:r>
          </w:p>
          <w:p>
            <w:pPr>
              <w:pStyle w:val="ListParagraph"/>
              <w:numPr>
                <w:ilvl w:val="0"/>
                <w:numId w:val="1"/>
              </w:numPr>
              <w:spacing w:after="20" w:line="240"/>
            </w:pPr>
            <w:r>
              <w:rPr>
                <w:rFonts w:ascii="Calibri" w:cs="Calibri" w:eastAsia="Calibri" w:hAnsi="Calibri"/>
                <w:color w:val="1A1A1A"/>
                <w:sz w:val="15"/>
                <w:szCs w:val="15"/>
              </w:rPr>
              <w:t xml:space="preserve">Visitor induction covering emergency arrangements</w:t>
            </w:r>
          </w:p>
          <w:p>
            <w:pPr>
              <w:pStyle w:val="ListParagraph"/>
              <w:numPr>
                <w:ilvl w:val="0"/>
                <w:numId w:val="1"/>
              </w:numPr>
              <w:spacing w:after="20" w:line="240"/>
            </w:pPr>
            <w:r>
              <w:rPr>
                <w:rFonts w:ascii="Calibri" w:cs="Calibri" w:eastAsia="Calibri" w:hAnsi="Calibri"/>
                <w:color w:val="1A1A1A"/>
                <w:sz w:val="15"/>
                <w:szCs w:val="15"/>
              </w:rPr>
              <w:t xml:space="preserve">Escorted where necessary</w:t>
            </w:r>
          </w:p>
          <w:p>
            <w:pPr>
              <w:pStyle w:val="ListParagraph"/>
              <w:numPr>
                <w:ilvl w:val="0"/>
                <w:numId w:val="1"/>
              </w:numPr>
              <w:spacing w:after="20" w:line="240"/>
            </w:pPr>
            <w:r>
              <w:rPr>
                <w:rFonts w:ascii="Calibri" w:cs="Calibri" w:eastAsia="Calibri" w:hAnsi="Calibri"/>
                <w:color w:val="1A1A1A"/>
                <w:sz w:val="15"/>
                <w:szCs w:val="15"/>
              </w:rPr>
              <w:t xml:space="preserve">Contractor management arrangements</w:t>
            </w:r>
          </w:p>
          <w:p>
            <w:pPr>
              <w:pStyle w:val="ListParagraph"/>
              <w:numPr>
                <w:ilvl w:val="0"/>
                <w:numId w:val="1"/>
              </w:numPr>
              <w:spacing w:after="20" w:line="240"/>
            </w:pPr>
            <w:r>
              <w:rPr>
                <w:rFonts w:ascii="Calibri" w:cs="Calibri" w:eastAsia="Calibri" w:hAnsi="Calibri"/>
                <w:color w:val="1A1A1A"/>
                <w:sz w:val="15"/>
                <w:szCs w:val="15"/>
              </w:rPr>
              <w:t xml:space="preserve">Provide a visitor safety card / induction slip</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V7</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Failure to identify vulnerable persons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Any at-risk individual - unmanaged risk where a vulnerability is not identified.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Vulnerability considered at induction, return-to-work and on notification</w:t>
            </w:r>
          </w:p>
          <w:p>
            <w:pPr>
              <w:pStyle w:val="ListParagraph"/>
              <w:numPr>
                <w:ilvl w:val="0"/>
                <w:numId w:val="1"/>
              </w:numPr>
              <w:spacing w:after="20" w:line="240"/>
            </w:pPr>
            <w:r>
              <w:rPr>
                <w:rFonts w:ascii="Calibri" w:cs="Calibri" w:eastAsia="Calibri" w:hAnsi="Calibri"/>
                <w:color w:val="1A1A1A"/>
                <w:sz w:val="15"/>
                <w:szCs w:val="15"/>
              </w:rPr>
              <w:t xml:space="preserve">Open culture encouraging disclosure of needs</w:t>
            </w:r>
          </w:p>
          <w:p>
            <w:pPr>
              <w:pStyle w:val="ListParagraph"/>
              <w:numPr>
                <w:ilvl w:val="0"/>
                <w:numId w:val="1"/>
              </w:numPr>
              <w:spacing w:after="20" w:line="240"/>
            </w:pPr>
            <w:r>
              <w:rPr>
                <w:rFonts w:ascii="Calibri" w:cs="Calibri" w:eastAsia="Calibri" w:hAnsi="Calibri"/>
                <w:color w:val="1A1A1A"/>
                <w:sz w:val="15"/>
                <w:szCs w:val="15"/>
              </w:rPr>
              <w:t xml:space="preserve">Prompt for needs at induction and review points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7FBC97-5939-466A-9E4F-B3D63A5C44E3}"/>
</file>

<file path=customXml/itemProps2.xml><?xml version="1.0" encoding="utf-8"?>
<ds:datastoreItem xmlns:ds="http://schemas.openxmlformats.org/officeDocument/2006/customXml" ds:itemID="{FD0E848A-B08C-478F-93BA-9E2BDD1D8303}"/>
</file>

<file path=customXml/itemProps3.xml><?xml version="1.0" encoding="utf-8"?>
<ds:datastoreItem xmlns:ds="http://schemas.openxmlformats.org/officeDocument/2006/customXml" ds:itemID="{8CF90EB2-2D00-4DC3-8DBE-9F7AAED3025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2026-08-25T17:30:06Z</dcterms:created>
  <dcterms:modified xsi:type="dcterms:W3CDTF">2026-08-25T17:30:06Z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