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Training Policy</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1. Introduction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providing a safe and healthy working environment for all its employees. This training policy outlines the company's approach to training and development, ensuring all employees have the necessary knowledge, skills and competencies to perform their roles effectively and safely while complying with all relevant legislation.</w:t>
      </w:r>
    </w:p>
    <w:p>
      <w:pPr>
        <w:spacing w:after="100" w:before="240"/>
      </w:pPr>
      <w:r>
        <w:rPr>
          <w:rFonts w:ascii="Calibri" w:cs="Calibri" w:eastAsia="Calibri" w:hAnsi="Calibri"/>
          <w:b/>
          <w:bCs/>
          <w:color w:val="06233D"/>
          <w:sz w:val="24"/>
          <w:szCs w:val="24"/>
        </w:rPr>
        <w:t xml:space="preserve">2. Scope</w:t>
      </w:r>
    </w:p>
    <w:p>
      <w:pPr>
        <w:spacing w:after="120" w:line="264"/>
      </w:pPr>
      <w:r>
        <w:rPr>
          <w:rFonts w:ascii="Calibri" w:cs="Calibri" w:eastAsia="Calibri" w:hAnsi="Calibri"/>
          <w:color w:val="1A1A1A"/>
          <w:sz w:val="21"/>
          <w:szCs w:val="21"/>
        </w:rPr>
        <w:t xml:space="preserve">This policy applies to all employees of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including full-time, part-time, temporary and contract workers. It covers all aspects of training, including but not limited to:</w:t>
      </w:r>
    </w:p>
    <w:p>
      <w:pPr>
        <w:pStyle w:val="ListParagraph"/>
        <w:numPr>
          <w:ilvl w:val="0"/>
          <w:numId w:val="2"/>
        </w:numPr>
        <w:spacing w:after="70" w:line="264"/>
      </w:pPr>
      <w:r>
        <w:rPr>
          <w:rFonts w:ascii="Calibri" w:cs="Calibri" w:eastAsia="Calibri" w:hAnsi="Calibri"/>
          <w:color w:val="1A1A1A"/>
          <w:sz w:val="21"/>
          <w:szCs w:val="21"/>
        </w:rPr>
        <w:t xml:space="preserve">Induction Training: to familiarise new employees with company policies, procedures and safety regulations. This must be completed before an employee begins unsupervised work.</w:t>
      </w:r>
    </w:p>
    <w:p>
      <w:pPr>
        <w:pStyle w:val="ListParagraph"/>
        <w:numPr>
          <w:ilvl w:val="0"/>
          <w:numId w:val="2"/>
        </w:numPr>
        <w:spacing w:after="70" w:line="264"/>
      </w:pPr>
      <w:r>
        <w:rPr>
          <w:rFonts w:ascii="Calibri" w:cs="Calibri" w:eastAsia="Calibri" w:hAnsi="Calibri"/>
          <w:color w:val="1A1A1A"/>
          <w:sz w:val="21"/>
          <w:szCs w:val="21"/>
        </w:rPr>
        <w:t xml:space="preserve">Job-Specific Training: to equip employees with the skills and knowledge to perform their roles safely and effectively, including operational training on the safe use of machinery, equipment and processes, and any technical training relevant to the role.</w:t>
      </w:r>
    </w:p>
    <w:p>
      <w:pPr>
        <w:pStyle w:val="ListParagraph"/>
        <w:numPr>
          <w:ilvl w:val="0"/>
          <w:numId w:val="2"/>
        </w:numPr>
        <w:spacing w:after="70" w:line="264"/>
      </w:pPr>
      <w:r>
        <w:rPr>
          <w:rFonts w:ascii="Calibri" w:cs="Calibri" w:eastAsia="Calibri" w:hAnsi="Calibri"/>
          <w:color w:val="1A1A1A"/>
          <w:sz w:val="21"/>
          <w:szCs w:val="21"/>
        </w:rPr>
        <w:t xml:space="preserve">Health &amp; Safety Training: to ensure awareness of and compliance with health and safety regulations under the Health and Safety at Work etc. Act 1974, including fire prevention and evacuation, basic first aid, safe manual handling, and participation in risk assessments and method statements.</w:t>
      </w:r>
    </w:p>
    <w:p>
      <w:pPr>
        <w:pStyle w:val="ListParagraph"/>
        <w:numPr>
          <w:ilvl w:val="0"/>
          <w:numId w:val="2"/>
        </w:numPr>
        <w:spacing w:after="70" w:line="264"/>
      </w:pPr>
      <w:r>
        <w:rPr>
          <w:rFonts w:ascii="Calibri" w:cs="Calibri" w:eastAsia="Calibri" w:hAnsi="Calibri"/>
          <w:color w:val="1A1A1A"/>
          <w:sz w:val="21"/>
          <w:szCs w:val="21"/>
        </w:rPr>
        <w:t xml:space="preserve">Environmental Training: to raise awareness of environmental issues and promote sustainable practices, such as reducing energy and water use and effective waste management and recycling.</w:t>
      </w:r>
    </w:p>
    <w:p>
      <w:pPr>
        <w:pStyle w:val="ListParagraph"/>
        <w:numPr>
          <w:ilvl w:val="0"/>
          <w:numId w:val="2"/>
        </w:numPr>
        <w:spacing w:after="70" w:line="264"/>
      </w:pPr>
      <w:r>
        <w:rPr>
          <w:rFonts w:ascii="Calibri" w:cs="Calibri" w:eastAsia="Calibri" w:hAnsi="Calibri"/>
          <w:color w:val="1A1A1A"/>
          <w:sz w:val="21"/>
          <w:szCs w:val="21"/>
        </w:rPr>
        <w:t xml:space="preserve">Regular refresher training to update employees on changes in legislation, best practice and new technologies.</w:t>
      </w:r>
    </w:p>
    <w:p>
      <w:pPr>
        <w:spacing w:after="100" w:before="240"/>
      </w:pPr>
      <w:r>
        <w:rPr>
          <w:rFonts w:ascii="Calibri" w:cs="Calibri" w:eastAsia="Calibri" w:hAnsi="Calibri"/>
          <w:b/>
          <w:bCs/>
          <w:color w:val="06233D"/>
          <w:sz w:val="24"/>
          <w:szCs w:val="24"/>
        </w:rPr>
        <w:t xml:space="preserve">3. Training Delivery</w:t>
      </w:r>
    </w:p>
    <w:p>
      <w:pPr>
        <w:spacing w:after="120" w:line="264"/>
      </w:pPr>
      <w:r>
        <w:rPr>
          <w:rFonts w:ascii="Calibri" w:cs="Calibri" w:eastAsia="Calibri" w:hAnsi="Calibri"/>
          <w:color w:val="1A1A1A"/>
          <w:sz w:val="21"/>
          <w:szCs w:val="21"/>
        </w:rPr>
        <w:t xml:space="preserve">Training will be delivered through a variety of methods, including but not limited to:</w:t>
      </w:r>
    </w:p>
    <w:p>
      <w:pPr>
        <w:pStyle w:val="ListParagraph"/>
        <w:numPr>
          <w:ilvl w:val="0"/>
          <w:numId w:val="2"/>
        </w:numPr>
        <w:spacing w:after="70" w:line="264"/>
      </w:pPr>
      <w:r>
        <w:rPr>
          <w:rFonts w:ascii="Calibri" w:cs="Calibri" w:eastAsia="Calibri" w:hAnsi="Calibri"/>
          <w:color w:val="1A1A1A"/>
          <w:sz w:val="21"/>
          <w:szCs w:val="21"/>
        </w:rPr>
        <w:t xml:space="preserve">Practical training provided by experienced employees.</w:t>
      </w:r>
    </w:p>
    <w:p>
      <w:pPr>
        <w:pStyle w:val="ListParagraph"/>
        <w:numPr>
          <w:ilvl w:val="0"/>
          <w:numId w:val="2"/>
        </w:numPr>
        <w:spacing w:after="70" w:line="264"/>
      </w:pPr>
      <w:r>
        <w:rPr>
          <w:rFonts w:ascii="Calibri" w:cs="Calibri" w:eastAsia="Calibri" w:hAnsi="Calibri"/>
          <w:color w:val="1A1A1A"/>
          <w:sz w:val="21"/>
          <w:szCs w:val="21"/>
        </w:rPr>
        <w:t xml:space="preserve">Classroom-led presentations and workshops.</w:t>
      </w:r>
    </w:p>
    <w:p>
      <w:pPr>
        <w:pStyle w:val="ListParagraph"/>
        <w:numPr>
          <w:ilvl w:val="0"/>
          <w:numId w:val="2"/>
        </w:numPr>
        <w:spacing w:after="70" w:line="264"/>
      </w:pPr>
      <w:r>
        <w:rPr>
          <w:rFonts w:ascii="Calibri" w:cs="Calibri" w:eastAsia="Calibri" w:hAnsi="Calibri"/>
          <w:color w:val="1A1A1A"/>
          <w:sz w:val="21"/>
          <w:szCs w:val="21"/>
        </w:rPr>
        <w:t xml:space="preserve">Online training: e-learning modules and online courses.</w:t>
      </w:r>
    </w:p>
    <w:p>
      <w:pPr>
        <w:pStyle w:val="ListParagraph"/>
        <w:numPr>
          <w:ilvl w:val="0"/>
          <w:numId w:val="2"/>
        </w:numPr>
        <w:spacing w:after="70" w:line="264"/>
      </w:pPr>
      <w:r>
        <w:rPr>
          <w:rFonts w:ascii="Calibri" w:cs="Calibri" w:eastAsia="Calibri" w:hAnsi="Calibri"/>
          <w:color w:val="1A1A1A"/>
          <w:sz w:val="21"/>
          <w:szCs w:val="21"/>
        </w:rPr>
        <w:t xml:space="preserve">External training courses provided by accredited training providers.</w:t>
      </w:r>
    </w:p>
    <w:p>
      <w:pPr>
        <w:spacing w:after="100" w:before="240"/>
      </w:pPr>
      <w:r>
        <w:rPr>
          <w:rFonts w:ascii="Calibri" w:cs="Calibri" w:eastAsia="Calibri" w:hAnsi="Calibri"/>
          <w:b/>
          <w:bCs/>
          <w:color w:val="06233D"/>
          <w:sz w:val="24"/>
          <w:szCs w:val="24"/>
        </w:rPr>
        <w:t xml:space="preserve">4. Record Keeping</w:t>
      </w:r>
    </w:p>
    <w:p>
      <w:pPr>
        <w:spacing w:after="120" w:line="264"/>
      </w:pPr>
      <w:r>
        <w:rPr>
          <w:rFonts w:ascii="Calibri" w:cs="Calibri" w:eastAsia="Calibri" w:hAnsi="Calibri"/>
          <w:color w:val="1A1A1A"/>
          <w:sz w:val="21"/>
          <w:szCs w:val="21"/>
        </w:rPr>
        <w:t xml:space="preserve">Accurate records of all training activities will be maintained, including:</w:t>
      </w:r>
    </w:p>
    <w:p>
      <w:pPr>
        <w:pStyle w:val="ListParagraph"/>
        <w:numPr>
          <w:ilvl w:val="0"/>
          <w:numId w:val="2"/>
        </w:numPr>
        <w:spacing w:after="70" w:line="264"/>
      </w:pPr>
      <w:r>
        <w:rPr>
          <w:rFonts w:ascii="Calibri" w:cs="Calibri" w:eastAsia="Calibri" w:hAnsi="Calibri"/>
          <w:color w:val="1A1A1A"/>
          <w:sz w:val="21"/>
          <w:szCs w:val="21"/>
        </w:rPr>
        <w:t xml:space="preserve">Identification of training needs for each employee.</w:t>
      </w:r>
    </w:p>
    <w:p>
      <w:pPr>
        <w:pStyle w:val="ListParagraph"/>
        <w:numPr>
          <w:ilvl w:val="0"/>
          <w:numId w:val="2"/>
        </w:numPr>
        <w:spacing w:after="70" w:line="264"/>
      </w:pPr>
      <w:r>
        <w:rPr>
          <w:rFonts w:ascii="Calibri" w:cs="Calibri" w:eastAsia="Calibri" w:hAnsi="Calibri"/>
          <w:color w:val="1A1A1A"/>
          <w:sz w:val="21"/>
          <w:szCs w:val="21"/>
        </w:rPr>
        <w:t xml:space="preserve">Training objectives, methods and resources.</w:t>
      </w:r>
    </w:p>
    <w:p>
      <w:pPr>
        <w:pStyle w:val="ListParagraph"/>
        <w:numPr>
          <w:ilvl w:val="0"/>
          <w:numId w:val="2"/>
        </w:numPr>
        <w:spacing w:after="70" w:line="264"/>
      </w:pPr>
      <w:r>
        <w:rPr>
          <w:rFonts w:ascii="Calibri" w:cs="Calibri" w:eastAsia="Calibri" w:hAnsi="Calibri"/>
          <w:color w:val="1A1A1A"/>
          <w:sz w:val="21"/>
          <w:szCs w:val="21"/>
        </w:rPr>
        <w:t xml:space="preserve">Training records, including employee names, dates of training and training materials.</w:t>
      </w:r>
    </w:p>
    <w:p>
      <w:pPr>
        <w:pStyle w:val="ListParagraph"/>
        <w:numPr>
          <w:ilvl w:val="0"/>
          <w:numId w:val="2"/>
        </w:numPr>
        <w:spacing w:after="70" w:line="264"/>
      </w:pPr>
      <w:r>
        <w:rPr>
          <w:rFonts w:ascii="Calibri" w:cs="Calibri" w:eastAsia="Calibri" w:hAnsi="Calibri"/>
          <w:color w:val="1A1A1A"/>
          <w:sz w:val="21"/>
          <w:szCs w:val="21"/>
        </w:rPr>
        <w:t xml:space="preserve">Assessment of the impact of training on employee performance and workplace safety through regular evaluation.</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E9996B-38D3-4325-880E-81FCB3B1BEF2}"/>
</file>

<file path=customXml/itemProps2.xml><?xml version="1.0" encoding="utf-8"?>
<ds:datastoreItem xmlns:ds="http://schemas.openxmlformats.org/officeDocument/2006/customXml" ds:itemID="{0FDFF0EA-B02D-4B87-9EEC-35036BAAFC17}"/>
</file>

<file path=customXml/itemProps3.xml><?xml version="1.0" encoding="utf-8"?>
<ds:datastoreItem xmlns:ds="http://schemas.openxmlformats.org/officeDocument/2006/customXml" ds:itemID="{E2ACB3B7-D083-4378-BACA-187E8B97F4E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2026-08-25T17:18:32Z</dcterms:created>
  <dcterms:modified xsi:type="dcterms:W3CDTF">2026-08-25T17:18:32Z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