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Supplier &amp; Subcontractor Approval Procedure</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color w:val="1A1A1A"/>
          <w:sz w:val="21"/>
          <w:szCs w:val="21"/>
        </w:rPr>
        <w:t xml:space="preserve">This procedure defines the mandatory process for the selection and approval of all suppliers and subcontractors. At </w:t>
      </w: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we recognise that our reputation and site safety depend on the competence of our partners. This process ensures that every entity we engage meets the requirements of the Construction (Design and Management) Regulations 2015 (CDM), where applicable, and possesses the skills necessary for the work.</w:t>
      </w:r>
    </w:p>
    <w:p>
      <w:pPr>
        <w:spacing w:after="100" w:before="240"/>
      </w:pPr>
      <w:r>
        <w:rPr>
          <w:rFonts w:ascii="Calibri" w:cs="Calibri" w:eastAsia="Calibri" w:hAnsi="Calibri"/>
          <w:b/>
          <w:bCs/>
          <w:color w:val="06233D"/>
          <w:sz w:val="24"/>
          <w:szCs w:val="24"/>
        </w:rPr>
        <w:t xml:space="preserve">Scope</w:t>
      </w:r>
    </w:p>
    <w:p>
      <w:pPr>
        <w:spacing w:after="120" w:line="264"/>
      </w:pPr>
      <w:r>
        <w:rPr>
          <w:rFonts w:ascii="Calibri" w:cs="Calibri" w:eastAsia="Calibri" w:hAnsi="Calibri"/>
          <w:color w:val="1A1A1A"/>
          <w:sz w:val="21"/>
          <w:szCs w:val="21"/>
        </w:rPr>
        <w:t xml:space="preserve">This procedure applies to the procurement and approval of:</w:t>
      </w:r>
    </w:p>
    <w:p>
      <w:pPr>
        <w:pStyle w:val="ListParagraph"/>
        <w:numPr>
          <w:ilvl w:val="0"/>
          <w:numId w:val="2"/>
        </w:numPr>
        <w:spacing w:after="70" w:line="264"/>
      </w:pPr>
      <w:r>
        <w:rPr>
          <w:rFonts w:ascii="Calibri" w:cs="Calibri" w:eastAsia="Calibri" w:hAnsi="Calibri"/>
          <w:color w:val="1A1A1A"/>
          <w:sz w:val="21"/>
          <w:szCs w:val="21"/>
        </w:rPr>
        <w:t xml:space="preserve">Specialist subcontractors (e.g. scaffolding, groundworks, electrical, roofing).</w:t>
      </w:r>
    </w:p>
    <w:p>
      <w:pPr>
        <w:pStyle w:val="ListParagraph"/>
        <w:numPr>
          <w:ilvl w:val="0"/>
          <w:numId w:val="2"/>
        </w:numPr>
        <w:spacing w:after="70" w:line="264"/>
      </w:pPr>
      <w:r>
        <w:rPr>
          <w:rFonts w:ascii="Calibri" w:cs="Calibri" w:eastAsia="Calibri" w:hAnsi="Calibri"/>
          <w:color w:val="1A1A1A"/>
          <w:sz w:val="21"/>
          <w:szCs w:val="21"/>
        </w:rPr>
        <w:t xml:space="preserve">Material suppliers.</w:t>
      </w:r>
    </w:p>
    <w:p>
      <w:pPr>
        <w:pStyle w:val="ListParagraph"/>
        <w:numPr>
          <w:ilvl w:val="0"/>
          <w:numId w:val="2"/>
        </w:numPr>
        <w:spacing w:after="70" w:line="264"/>
      </w:pPr>
      <w:r>
        <w:rPr>
          <w:rFonts w:ascii="Calibri" w:cs="Calibri" w:eastAsia="Calibri" w:hAnsi="Calibri"/>
          <w:color w:val="1A1A1A"/>
          <w:sz w:val="21"/>
          <w:szCs w:val="21"/>
        </w:rPr>
        <w:t xml:space="preserve">Plant and equipment hire companies.</w:t>
      </w:r>
    </w:p>
    <w:p>
      <w:pPr>
        <w:spacing w:after="100" w:before="240"/>
      </w:pPr>
      <w:r>
        <w:rPr>
          <w:rFonts w:ascii="Calibri" w:cs="Calibri" w:eastAsia="Calibri" w:hAnsi="Calibri"/>
          <w:b/>
          <w:bCs/>
          <w:color w:val="06233D"/>
          <w:sz w:val="24"/>
          <w:szCs w:val="24"/>
        </w:rPr>
        <w:t xml:space="preserve">Responsibilities</w:t>
      </w:r>
    </w:p>
    <w:p>
      <w:pPr>
        <w:spacing w:after="70" w:before="160"/>
      </w:pPr>
      <w:r>
        <w:rPr>
          <w:rFonts w:ascii="Calibri" w:cs="Calibri" w:eastAsia="Calibri" w:hAnsi="Calibri"/>
          <w:b/>
          <w:bCs/>
          <w:color w:val="06233D"/>
          <w:sz w:val="22"/>
          <w:szCs w:val="22"/>
        </w:rPr>
        <w:t xml:space="preserve">Project Manager</w:t>
      </w:r>
    </w:p>
    <w:p>
      <w:pPr>
        <w:pStyle w:val="ListParagraph"/>
        <w:numPr>
          <w:ilvl w:val="0"/>
          <w:numId w:val="2"/>
        </w:numPr>
        <w:spacing w:after="70" w:line="264"/>
      </w:pPr>
      <w:r>
        <w:rPr>
          <w:rFonts w:ascii="Calibri" w:cs="Calibri" w:eastAsia="Calibri" w:hAnsi="Calibri"/>
          <w:color w:val="1A1A1A"/>
          <w:sz w:val="21"/>
          <w:szCs w:val="21"/>
        </w:rPr>
        <w:t xml:space="preserve">Managing the overall approval process so that no subcontractor is awarded a contract without full compliance.</w:t>
      </w:r>
    </w:p>
    <w:p>
      <w:pPr>
        <w:pStyle w:val="ListParagraph"/>
        <w:numPr>
          <w:ilvl w:val="0"/>
          <w:numId w:val="2"/>
        </w:numPr>
        <w:spacing w:after="70" w:line="264"/>
      </w:pPr>
      <w:r>
        <w:rPr>
          <w:rFonts w:ascii="Calibri" w:cs="Calibri" w:eastAsia="Calibri" w:hAnsi="Calibri"/>
          <w:color w:val="1A1A1A"/>
          <w:sz w:val="21"/>
          <w:szCs w:val="21"/>
        </w:rPr>
        <w:t xml:space="preserve">Reviewing financial and technical references to select stable and capable partners.</w:t>
      </w:r>
    </w:p>
    <w:p>
      <w:pPr>
        <w:pStyle w:val="ListParagraph"/>
        <w:numPr>
          <w:ilvl w:val="0"/>
          <w:numId w:val="2"/>
        </w:numPr>
        <w:spacing w:after="70" w:line="264"/>
      </w:pPr>
      <w:r>
        <w:rPr>
          <w:rFonts w:ascii="Calibri" w:cs="Calibri" w:eastAsia="Calibri" w:hAnsi="Calibri"/>
          <w:color w:val="1A1A1A"/>
          <w:sz w:val="21"/>
          <w:szCs w:val="21"/>
        </w:rPr>
        <w:t xml:space="preserve">Acting as final signatory on the Approved Supplier List (ASL).</w:t>
      </w:r>
    </w:p>
    <w:p>
      <w:pPr>
        <w:spacing w:after="70" w:before="160"/>
      </w:pPr>
      <w:r>
        <w:rPr>
          <w:rFonts w:ascii="Calibri" w:cs="Calibri" w:eastAsia="Calibri" w:hAnsi="Calibri"/>
          <w:b/>
          <w:bCs/>
          <w:color w:val="06233D"/>
          <w:sz w:val="22"/>
          <w:szCs w:val="22"/>
        </w:rPr>
        <w:t xml:space="preserve">Site Supervisor</w:t>
      </w:r>
    </w:p>
    <w:p>
      <w:pPr>
        <w:pStyle w:val="ListParagraph"/>
        <w:numPr>
          <w:ilvl w:val="0"/>
          <w:numId w:val="2"/>
        </w:numPr>
        <w:spacing w:after="70" w:line="264"/>
      </w:pPr>
      <w:r>
        <w:rPr>
          <w:rFonts w:ascii="Calibri" w:cs="Calibri" w:eastAsia="Calibri" w:hAnsi="Calibri"/>
          <w:color w:val="1A1A1A"/>
          <w:sz w:val="21"/>
          <w:szCs w:val="21"/>
        </w:rPr>
        <w:t xml:space="preserve">Providing feedback on subcontractor performance from previous projects.</w:t>
      </w:r>
    </w:p>
    <w:p>
      <w:pPr>
        <w:pStyle w:val="ListParagraph"/>
        <w:numPr>
          <w:ilvl w:val="0"/>
          <w:numId w:val="2"/>
        </w:numPr>
        <w:spacing w:after="70" w:line="264"/>
      </w:pPr>
      <w:r>
        <w:rPr>
          <w:rFonts w:ascii="Calibri" w:cs="Calibri" w:eastAsia="Calibri" w:hAnsi="Calibri"/>
          <w:color w:val="1A1A1A"/>
          <w:sz w:val="21"/>
          <w:szCs w:val="21"/>
        </w:rPr>
        <w:t xml:space="preserve">Verifying that on-site personnel match the approved records, so the named competent person is the one performing the work.</w:t>
      </w:r>
    </w:p>
    <w:p>
      <w:pPr>
        <w:spacing w:after="70" w:before="160"/>
      </w:pPr>
      <w:r>
        <w:rPr>
          <w:rFonts w:ascii="Calibri" w:cs="Calibri" w:eastAsia="Calibri" w:hAnsi="Calibri"/>
          <w:b/>
          <w:bCs/>
          <w:color w:val="06233D"/>
          <w:sz w:val="22"/>
          <w:szCs w:val="22"/>
        </w:rPr>
        <w:t xml:space="preserve">Health and Safety Adviser</w:t>
      </w:r>
    </w:p>
    <w:p>
      <w:pPr>
        <w:pStyle w:val="ListParagraph"/>
        <w:numPr>
          <w:ilvl w:val="0"/>
          <w:numId w:val="2"/>
        </w:numPr>
        <w:spacing w:after="70" w:line="264"/>
      </w:pPr>
      <w:r>
        <w:rPr>
          <w:rFonts w:ascii="Calibri" w:cs="Calibri" w:eastAsia="Calibri" w:hAnsi="Calibri"/>
          <w:color w:val="1A1A1A"/>
          <w:sz w:val="21"/>
          <w:szCs w:val="21"/>
        </w:rPr>
        <w:t xml:space="preserve">Assessing safety competence and insurance.</w:t>
      </w:r>
    </w:p>
    <w:p>
      <w:pPr>
        <w:pStyle w:val="ListParagraph"/>
        <w:numPr>
          <w:ilvl w:val="0"/>
          <w:numId w:val="2"/>
        </w:numPr>
        <w:spacing w:after="70" w:line="264"/>
      </w:pPr>
      <w:r>
        <w:rPr>
          <w:rFonts w:ascii="Calibri" w:cs="Calibri" w:eastAsia="Calibri" w:hAnsi="Calibri"/>
          <w:color w:val="1A1A1A"/>
          <w:sz w:val="21"/>
          <w:szCs w:val="21"/>
        </w:rPr>
        <w:t xml:space="preserve">Reviewing RAMS and training records to confirm the subcontractor's safe system of work is suitable.</w:t>
      </w:r>
    </w:p>
    <w:p>
      <w:pPr>
        <w:spacing w:after="70" w:before="160"/>
      </w:pPr>
      <w:r>
        <w:rPr>
          <w:rFonts w:ascii="Calibri" w:cs="Calibri" w:eastAsia="Calibri" w:hAnsi="Calibri"/>
          <w:b/>
          <w:bCs/>
          <w:color w:val="06233D"/>
          <w:sz w:val="22"/>
          <w:szCs w:val="22"/>
        </w:rPr>
        <w:t xml:space="preserve">Finance</w:t>
      </w:r>
    </w:p>
    <w:p>
      <w:pPr>
        <w:pStyle w:val="ListParagraph"/>
        <w:numPr>
          <w:ilvl w:val="0"/>
          <w:numId w:val="2"/>
        </w:numPr>
        <w:spacing w:after="70" w:line="264"/>
      </w:pPr>
      <w:r>
        <w:rPr>
          <w:rFonts w:ascii="Calibri" w:cs="Calibri" w:eastAsia="Calibri" w:hAnsi="Calibri"/>
          <w:color w:val="1A1A1A"/>
          <w:sz w:val="21"/>
          <w:szCs w:val="21"/>
        </w:rPr>
        <w:t xml:space="preserve">Processing subcontractor payments in accordance with the subcontract agreement.</w:t>
      </w:r>
    </w:p>
    <w:p>
      <w:pPr>
        <w:pStyle w:val="ListParagraph"/>
        <w:numPr>
          <w:ilvl w:val="0"/>
          <w:numId w:val="2"/>
        </w:numPr>
        <w:spacing w:after="70" w:line="264"/>
      </w:pPr>
      <w:r>
        <w:rPr>
          <w:rFonts w:ascii="Calibri" w:cs="Calibri" w:eastAsia="Calibri" w:hAnsi="Calibri"/>
          <w:color w:val="1A1A1A"/>
          <w:sz w:val="21"/>
          <w:szCs w:val="21"/>
        </w:rPr>
        <w:t xml:space="preserve">Verifying completion of works before releasing funds.</w:t>
      </w:r>
    </w:p>
    <w:p>
      <w:pPr>
        <w:spacing w:after="70" w:before="160"/>
      </w:pPr>
      <w:r>
        <w:rPr>
          <w:rFonts w:ascii="Calibri" w:cs="Calibri" w:eastAsia="Calibri" w:hAnsi="Calibri"/>
          <w:b/>
          <w:bCs/>
          <w:color w:val="06233D"/>
          <w:sz w:val="22"/>
          <w:szCs w:val="22"/>
        </w:rPr>
        <w:t xml:space="preserve">Subcontractor / Supplier</w:t>
      </w:r>
    </w:p>
    <w:p>
      <w:pPr>
        <w:pStyle w:val="ListParagraph"/>
        <w:numPr>
          <w:ilvl w:val="0"/>
          <w:numId w:val="2"/>
        </w:numPr>
        <w:spacing w:after="70" w:line="264"/>
      </w:pPr>
      <w:r>
        <w:rPr>
          <w:rFonts w:ascii="Calibri" w:cs="Calibri" w:eastAsia="Calibri" w:hAnsi="Calibri"/>
          <w:color w:val="1A1A1A"/>
          <w:sz w:val="21"/>
          <w:szCs w:val="21"/>
        </w:rPr>
        <w:t xml:space="preserve">Submitting all requested documentation accurately and promptly.</w:t>
      </w:r>
    </w:p>
    <w:p>
      <w:pPr>
        <w:pStyle w:val="ListParagraph"/>
        <w:numPr>
          <w:ilvl w:val="0"/>
          <w:numId w:val="2"/>
        </w:numPr>
        <w:spacing w:after="70" w:line="264"/>
      </w:pPr>
      <w:r>
        <w:rPr>
          <w:rFonts w:ascii="Calibri" w:cs="Calibri" w:eastAsia="Calibri" w:hAnsi="Calibri"/>
          <w:color w:val="1A1A1A"/>
          <w:sz w:val="21"/>
          <w:szCs w:val="21"/>
        </w:rPr>
        <w:t xml:space="preserve">Maintaining valid insurance and certifications throughout their engagement.</w:t>
      </w:r>
    </w:p>
    <w:p>
      <w:pPr>
        <w:spacing w:after="100" w:before="240"/>
      </w:pPr>
      <w:r>
        <w:rPr>
          <w:rFonts w:ascii="Calibri" w:cs="Calibri" w:eastAsia="Calibri" w:hAnsi="Calibri"/>
          <w:b/>
          <w:bCs/>
          <w:color w:val="06233D"/>
          <w:sz w:val="24"/>
          <w:szCs w:val="24"/>
        </w:rPr>
        <w:t xml:space="preserve">Approval Criteria</w:t>
      </w:r>
    </w:p>
    <w:p>
      <w:pPr>
        <w:spacing w:after="70" w:before="160"/>
      </w:pPr>
      <w:r>
        <w:rPr>
          <w:rFonts w:ascii="Calibri" w:cs="Calibri" w:eastAsia="Calibri" w:hAnsi="Calibri"/>
          <w:b/>
          <w:bCs/>
          <w:color w:val="06233D"/>
          <w:sz w:val="22"/>
          <w:szCs w:val="22"/>
        </w:rPr>
        <w:t xml:space="preserve">Prequalification</w:t>
      </w:r>
    </w:p>
    <w:p>
      <w:pPr>
        <w:pStyle w:val="ListParagraph"/>
        <w:numPr>
          <w:ilvl w:val="0"/>
          <w:numId w:val="2"/>
        </w:numPr>
        <w:spacing w:after="70" w:line="264"/>
      </w:pPr>
      <w:r>
        <w:rPr>
          <w:rFonts w:ascii="Calibri" w:cs="Calibri" w:eastAsia="Calibri" w:hAnsi="Calibri"/>
          <w:color w:val="1A1A1A"/>
          <w:sz w:val="21"/>
          <w:szCs w:val="21"/>
        </w:rPr>
        <w:t xml:space="preserve">Verifying recognised accreditation (e.g. SSIP schemes such as CHAS, SMAS, Constructionline, or Common Assessment Standard) as the method for assessing organisational capability.</w:t>
      </w:r>
    </w:p>
    <w:p>
      <w:pPr>
        <w:pStyle w:val="ListParagraph"/>
        <w:numPr>
          <w:ilvl w:val="0"/>
          <w:numId w:val="2"/>
        </w:numPr>
        <w:spacing w:after="70" w:line="264"/>
      </w:pPr>
      <w:r>
        <w:rPr>
          <w:rFonts w:ascii="Calibri" w:cs="Calibri" w:eastAsia="Calibri" w:hAnsi="Calibri"/>
          <w:color w:val="1A1A1A"/>
          <w:sz w:val="21"/>
          <w:szCs w:val="21"/>
        </w:rPr>
        <w:t xml:space="preserve">Checking for relevant sector experience.</w:t>
      </w:r>
    </w:p>
    <w:p>
      <w:pPr>
        <w:pStyle w:val="ListParagraph"/>
        <w:numPr>
          <w:ilvl w:val="0"/>
          <w:numId w:val="2"/>
        </w:numPr>
        <w:spacing w:after="70" w:line="264"/>
      </w:pPr>
      <w:r>
        <w:rPr>
          <w:rFonts w:ascii="Calibri" w:cs="Calibri" w:eastAsia="Calibri" w:hAnsi="Calibri"/>
          <w:color w:val="1A1A1A"/>
          <w:sz w:val="21"/>
          <w:szCs w:val="21"/>
        </w:rPr>
        <w:t xml:space="preserve">Reviewing a minimum of three years of safety statistics, including any HSE enforcement actions or notices.</w:t>
      </w:r>
    </w:p>
    <w:p>
      <w:pPr>
        <w:spacing w:after="70" w:before="160"/>
      </w:pPr>
      <w:r>
        <w:rPr>
          <w:rFonts w:ascii="Calibri" w:cs="Calibri" w:eastAsia="Calibri" w:hAnsi="Calibri"/>
          <w:b/>
          <w:bCs/>
          <w:color w:val="06233D"/>
          <w:sz w:val="22"/>
          <w:szCs w:val="22"/>
        </w:rPr>
        <w:t xml:space="preserve">Insurance and Legal</w:t>
      </w:r>
    </w:p>
    <w:p>
      <w:pPr>
        <w:pStyle w:val="ListParagraph"/>
        <w:numPr>
          <w:ilvl w:val="0"/>
          <w:numId w:val="2"/>
        </w:numPr>
        <w:spacing w:after="70" w:line="264"/>
      </w:pPr>
      <w:r>
        <w:rPr>
          <w:rFonts w:ascii="Calibri" w:cs="Calibri" w:eastAsia="Calibri" w:hAnsi="Calibri"/>
          <w:color w:val="1A1A1A"/>
          <w:sz w:val="21"/>
          <w:szCs w:val="21"/>
        </w:rPr>
        <w:t xml:space="preserve">Ensuring Public Liability (PL) and Employers' Liability (EL) meet the minimum required levels.</w:t>
      </w:r>
    </w:p>
    <w:p>
      <w:pPr>
        <w:pStyle w:val="ListParagraph"/>
        <w:numPr>
          <w:ilvl w:val="0"/>
          <w:numId w:val="2"/>
        </w:numPr>
        <w:spacing w:after="70" w:line="264"/>
      </w:pPr>
      <w:r>
        <w:rPr>
          <w:rFonts w:ascii="Calibri" w:cs="Calibri" w:eastAsia="Calibri" w:hAnsi="Calibri"/>
          <w:color w:val="1A1A1A"/>
          <w:sz w:val="21"/>
          <w:szCs w:val="21"/>
        </w:rPr>
        <w:t xml:space="preserve">Verifying Professional Indemnity (PI) insurance for any subcontractor involved in design or consultancy work.</w:t>
      </w:r>
    </w:p>
    <w:p>
      <w:pPr>
        <w:pStyle w:val="ListParagraph"/>
        <w:numPr>
          <w:ilvl w:val="0"/>
          <w:numId w:val="2"/>
        </w:numPr>
        <w:spacing w:after="70" w:line="264"/>
      </w:pPr>
      <w:r>
        <w:rPr>
          <w:rFonts w:ascii="Calibri" w:cs="Calibri" w:eastAsia="Calibri" w:hAnsi="Calibri"/>
          <w:color w:val="1A1A1A"/>
          <w:sz w:val="21"/>
          <w:szCs w:val="21"/>
        </w:rPr>
        <w:t xml:space="preserve">Confirming right-to-work documentation for all personnel.</w:t>
      </w:r>
    </w:p>
    <w:p>
      <w:pPr>
        <w:spacing w:after="70" w:before="160"/>
      </w:pPr>
      <w:r>
        <w:rPr>
          <w:rFonts w:ascii="Calibri" w:cs="Calibri" w:eastAsia="Calibri" w:hAnsi="Calibri"/>
          <w:b/>
          <w:bCs/>
          <w:color w:val="06233D"/>
          <w:sz w:val="22"/>
          <w:szCs w:val="22"/>
        </w:rPr>
        <w:t xml:space="preserve">Payments</w:t>
      </w:r>
    </w:p>
    <w:p>
      <w:pPr>
        <w:pStyle w:val="ListParagraph"/>
        <w:numPr>
          <w:ilvl w:val="0"/>
          <w:numId w:val="2"/>
        </w:numPr>
        <w:spacing w:after="70" w:line="264"/>
      </w:pPr>
      <w:r>
        <w:rPr>
          <w:rFonts w:ascii="Calibri" w:cs="Calibri" w:eastAsia="Calibri" w:hAnsi="Calibri"/>
          <w:color w:val="1A1A1A"/>
          <w:sz w:val="21"/>
          <w:szCs w:val="21"/>
        </w:rPr>
        <w:t xml:space="preserve">Adhering to the agreed payment schedule.</w:t>
      </w:r>
    </w:p>
    <w:p>
      <w:pPr>
        <w:pStyle w:val="ListParagraph"/>
        <w:numPr>
          <w:ilvl w:val="0"/>
          <w:numId w:val="2"/>
        </w:numPr>
        <w:spacing w:after="70" w:line="264"/>
      </w:pPr>
      <w:r>
        <w:rPr>
          <w:rFonts w:ascii="Calibri" w:cs="Calibri" w:eastAsia="Calibri" w:hAnsi="Calibri"/>
          <w:color w:val="1A1A1A"/>
          <w:sz w:val="21"/>
          <w:szCs w:val="21"/>
        </w:rPr>
        <w:t xml:space="preserve">Conducting verification of works before processing any payments.</w:t>
      </w:r>
    </w:p>
    <w:p>
      <w:pPr>
        <w:spacing w:after="100" w:before="240"/>
      </w:pPr>
      <w:r>
        <w:rPr>
          <w:rFonts w:ascii="Calibri" w:cs="Calibri" w:eastAsia="Calibri" w:hAnsi="Calibri"/>
          <w:b/>
          <w:bCs/>
          <w:color w:val="06233D"/>
          <w:sz w:val="24"/>
          <w:szCs w:val="24"/>
        </w:rPr>
        <w:t xml:space="preserve">Procedure</w:t>
      </w:r>
    </w:p>
    <w:p>
      <w:pPr>
        <w:spacing w:after="70" w:before="160"/>
      </w:pPr>
      <w:r>
        <w:rPr>
          <w:rFonts w:ascii="Calibri" w:cs="Calibri" w:eastAsia="Calibri" w:hAnsi="Calibri"/>
          <w:b/>
          <w:bCs/>
          <w:color w:val="06233D"/>
          <w:sz w:val="22"/>
          <w:szCs w:val="22"/>
        </w:rPr>
        <w:t xml:space="preserve">Initial Enquiry and Application</w:t>
      </w:r>
    </w:p>
    <w:p>
      <w:pPr>
        <w:pStyle w:val="ListParagraph"/>
        <w:numPr>
          <w:ilvl w:val="0"/>
          <w:numId w:val="2"/>
        </w:numPr>
        <w:spacing w:after="70" w:line="264"/>
      </w:pPr>
      <w:r>
        <w:rPr>
          <w:rFonts w:ascii="Calibri" w:cs="Calibri" w:eastAsia="Calibri" w:hAnsi="Calibri"/>
          <w:color w:val="1A1A1A"/>
          <w:sz w:val="21"/>
          <w:szCs w:val="21"/>
        </w:rPr>
        <w:t xml:space="preserve">Issuing the supplier questionnaire to the potential partner to gather basic company data and service offerings.</w:t>
      </w:r>
    </w:p>
    <w:p>
      <w:pPr>
        <w:spacing w:after="70" w:before="160"/>
      </w:pPr>
      <w:r>
        <w:rPr>
          <w:rFonts w:ascii="Calibri" w:cs="Calibri" w:eastAsia="Calibri" w:hAnsi="Calibri"/>
          <w:b/>
          <w:bCs/>
          <w:color w:val="06233D"/>
          <w:sz w:val="22"/>
          <w:szCs w:val="22"/>
        </w:rPr>
        <w:t xml:space="preserve">Document Verification</w:t>
      </w:r>
    </w:p>
    <w:p>
      <w:pPr>
        <w:pStyle w:val="ListParagraph"/>
        <w:numPr>
          <w:ilvl w:val="0"/>
          <w:numId w:val="2"/>
        </w:numPr>
        <w:spacing w:after="70" w:line="264"/>
      </w:pPr>
      <w:r>
        <w:rPr>
          <w:rFonts w:ascii="Calibri" w:cs="Calibri" w:eastAsia="Calibri" w:hAnsi="Calibri"/>
          <w:color w:val="1A1A1A"/>
          <w:sz w:val="21"/>
          <w:szCs w:val="21"/>
        </w:rPr>
        <w:t xml:space="preserve">Conducting a thorough check of all certificates, including CSCS/CPCS cards, trade accreditations and ISO certifications.</w:t>
      </w:r>
    </w:p>
    <w:p>
      <w:pPr>
        <w:pStyle w:val="ListParagraph"/>
        <w:numPr>
          <w:ilvl w:val="0"/>
          <w:numId w:val="2"/>
        </w:numPr>
        <w:spacing w:after="70" w:line="264"/>
      </w:pPr>
      <w:r>
        <w:rPr>
          <w:rFonts w:ascii="Calibri" w:cs="Calibri" w:eastAsia="Calibri" w:hAnsi="Calibri"/>
          <w:color w:val="1A1A1A"/>
          <w:sz w:val="21"/>
          <w:szCs w:val="21"/>
        </w:rPr>
        <w:t xml:space="preserve">Seeking independent references from previous projects.</w:t>
      </w:r>
    </w:p>
    <w:p>
      <w:pPr>
        <w:spacing w:after="70" w:before="160"/>
      </w:pPr>
      <w:r>
        <w:rPr>
          <w:rFonts w:ascii="Calibri" w:cs="Calibri" w:eastAsia="Calibri" w:hAnsi="Calibri"/>
          <w:b/>
          <w:bCs/>
          <w:color w:val="06233D"/>
          <w:sz w:val="22"/>
          <w:szCs w:val="22"/>
        </w:rPr>
        <w:t xml:space="preserve">Health and Safety Vetting</w:t>
      </w:r>
    </w:p>
    <w:p>
      <w:pPr>
        <w:pStyle w:val="ListParagraph"/>
        <w:numPr>
          <w:ilvl w:val="0"/>
          <w:numId w:val="2"/>
        </w:numPr>
        <w:spacing w:after="70" w:line="264"/>
      </w:pPr>
      <w:r>
        <w:rPr>
          <w:rFonts w:ascii="Calibri" w:cs="Calibri" w:eastAsia="Calibri" w:hAnsi="Calibri"/>
          <w:color w:val="1A1A1A"/>
          <w:sz w:val="21"/>
          <w:szCs w:val="21"/>
        </w:rPr>
        <w:t xml:space="preserve">Evaluating the subcontractor's safety policy and arrangements for managing risk.</w:t>
      </w:r>
    </w:p>
    <w:p>
      <w:pPr>
        <w:pStyle w:val="ListParagraph"/>
        <w:numPr>
          <w:ilvl w:val="0"/>
          <w:numId w:val="2"/>
        </w:numPr>
        <w:spacing w:after="70" w:line="264"/>
      </w:pPr>
      <w:r>
        <w:rPr>
          <w:rFonts w:ascii="Calibri" w:cs="Calibri" w:eastAsia="Calibri" w:hAnsi="Calibri"/>
          <w:color w:val="1A1A1A"/>
          <w:sz w:val="21"/>
          <w:szCs w:val="21"/>
        </w:rPr>
        <w:t xml:space="preserve">Reviewing project-specific RAMS to ensure they are substantial, site-specific and not generic templates.</w:t>
      </w:r>
    </w:p>
    <w:p>
      <w:pPr>
        <w:spacing w:after="70" w:before="160"/>
      </w:pPr>
      <w:r>
        <w:rPr>
          <w:rFonts w:ascii="Calibri" w:cs="Calibri" w:eastAsia="Calibri" w:hAnsi="Calibri"/>
          <w:b/>
          <w:bCs/>
          <w:color w:val="06233D"/>
          <w:sz w:val="22"/>
          <w:szCs w:val="22"/>
        </w:rPr>
        <w:t xml:space="preserve">Approval and Listing</w:t>
      </w:r>
    </w:p>
    <w:p>
      <w:pPr>
        <w:pStyle w:val="ListParagraph"/>
        <w:numPr>
          <w:ilvl w:val="0"/>
          <w:numId w:val="2"/>
        </w:numPr>
        <w:spacing w:after="70" w:line="264"/>
      </w:pPr>
      <w:r>
        <w:rPr>
          <w:rFonts w:ascii="Calibri" w:cs="Calibri" w:eastAsia="Calibri" w:hAnsi="Calibri"/>
          <w:color w:val="1A1A1A"/>
          <w:sz w:val="21"/>
          <w:szCs w:val="21"/>
        </w:rPr>
        <w:t xml:space="preserve">Adding the verified partner to the Approved Supplier List (ASL) once all criteria are met.</w:t>
      </w:r>
    </w:p>
    <w:p>
      <w:pPr>
        <w:pStyle w:val="ListParagraph"/>
        <w:numPr>
          <w:ilvl w:val="0"/>
          <w:numId w:val="2"/>
        </w:numPr>
        <w:spacing w:after="70" w:line="264"/>
      </w:pPr>
      <w:r>
        <w:rPr>
          <w:rFonts w:ascii="Calibri" w:cs="Calibri" w:eastAsia="Calibri" w:hAnsi="Calibri"/>
          <w:color w:val="1A1A1A"/>
          <w:sz w:val="21"/>
          <w:szCs w:val="21"/>
        </w:rPr>
        <w:t xml:space="preserve">Issuing any site rules, payment terms and conduct expectations.</w:t>
      </w:r>
    </w:p>
    <w:p>
      <w:pPr>
        <w:spacing w:after="70" w:before="160"/>
      </w:pPr>
      <w:r>
        <w:rPr>
          <w:rFonts w:ascii="Calibri" w:cs="Calibri" w:eastAsia="Calibri" w:hAnsi="Calibri"/>
          <w:b/>
          <w:bCs/>
          <w:color w:val="06233D"/>
          <w:sz w:val="22"/>
          <w:szCs w:val="22"/>
        </w:rPr>
        <w:t xml:space="preserve">Ongoing Monitoring and Evaluation</w:t>
      </w:r>
    </w:p>
    <w:p>
      <w:pPr>
        <w:pStyle w:val="ListParagraph"/>
        <w:numPr>
          <w:ilvl w:val="0"/>
          <w:numId w:val="2"/>
        </w:numPr>
        <w:spacing w:after="70" w:line="264"/>
      </w:pPr>
      <w:r>
        <w:rPr>
          <w:rFonts w:ascii="Calibri" w:cs="Calibri" w:eastAsia="Calibri" w:hAnsi="Calibri"/>
          <w:color w:val="1A1A1A"/>
          <w:sz w:val="21"/>
          <w:szCs w:val="21"/>
        </w:rPr>
        <w:t xml:space="preserve">Monitoring performance on every project.</w:t>
      </w:r>
    </w:p>
    <w:p>
      <w:pPr>
        <w:pStyle w:val="ListParagraph"/>
        <w:numPr>
          <w:ilvl w:val="0"/>
          <w:numId w:val="2"/>
        </w:numPr>
        <w:spacing w:after="70" w:line="264"/>
      </w:pPr>
      <w:r>
        <w:rPr>
          <w:rFonts w:ascii="Calibri" w:cs="Calibri" w:eastAsia="Calibri" w:hAnsi="Calibri"/>
          <w:color w:val="1A1A1A"/>
          <w:sz w:val="21"/>
          <w:szCs w:val="21"/>
        </w:rPr>
        <w:t xml:space="preserve">Conducting annual re-validation where subcontractors must submit updated insurance certificates and evidence of continued training.</w:t>
      </w:r>
    </w:p>
    <w:p>
      <w:pPr>
        <w:pStyle w:val="ListParagraph"/>
        <w:numPr>
          <w:ilvl w:val="0"/>
          <w:numId w:val="2"/>
        </w:numPr>
        <w:spacing w:after="70" w:line="264"/>
      </w:pPr>
      <w:r>
        <w:rPr>
          <w:rFonts w:ascii="Calibri" w:cs="Calibri" w:eastAsia="Calibri" w:hAnsi="Calibri"/>
          <w:color w:val="1A1A1A"/>
          <w:sz w:val="21"/>
          <w:szCs w:val="21"/>
        </w:rPr>
        <w:t xml:space="preserve">Removing underperforming partners from the ASL after a formal review.</w:t>
      </w:r>
    </w:p>
    <w:p>
      <w:pPr>
        <w:spacing w:after="70" w:before="160"/>
      </w:pPr>
      <w:r>
        <w:rPr>
          <w:rFonts w:ascii="Calibri" w:cs="Calibri" w:eastAsia="Calibri" w:hAnsi="Calibri"/>
          <w:b/>
          <w:bCs/>
          <w:color w:val="06233D"/>
          <w:sz w:val="22"/>
          <w:szCs w:val="22"/>
        </w:rPr>
        <w:t xml:space="preserve">Training and Support</w:t>
      </w:r>
    </w:p>
    <w:p>
      <w:pPr>
        <w:pStyle w:val="ListParagraph"/>
        <w:numPr>
          <w:ilvl w:val="0"/>
          <w:numId w:val="2"/>
        </w:numPr>
        <w:spacing w:after="70" w:line="264"/>
      </w:pPr>
      <w:r>
        <w:rPr>
          <w:rFonts w:ascii="Calibri" w:cs="Calibri" w:eastAsia="Calibri" w:hAnsi="Calibri"/>
          <w:color w:val="1A1A1A"/>
          <w:sz w:val="21"/>
          <w:szCs w:val="21"/>
        </w:rPr>
        <w:t xml:space="preserve">Offering a pre-qualification briefing where applicable to help smaller specialist firms understand our requirements.</w:t>
      </w:r>
    </w:p>
    <w:p>
      <w:pPr>
        <w:pStyle w:val="ListParagraph"/>
        <w:numPr>
          <w:ilvl w:val="0"/>
          <w:numId w:val="2"/>
        </w:numPr>
        <w:spacing w:after="70" w:line="264"/>
      </w:pPr>
      <w:r>
        <w:rPr>
          <w:rFonts w:ascii="Calibri" w:cs="Calibri" w:eastAsia="Calibri" w:hAnsi="Calibri"/>
          <w:color w:val="1A1A1A"/>
          <w:sz w:val="21"/>
          <w:szCs w:val="21"/>
        </w:rPr>
        <w:t xml:space="preserve">Providing feedback to unsuccessful applicants to encourage improvements.</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06F48E-1DB2-4BB7-9CD1-D6C809A847BB}"/>
</file>

<file path=customXml/itemProps2.xml><?xml version="1.0" encoding="utf-8"?>
<ds:datastoreItem xmlns:ds="http://schemas.openxmlformats.org/officeDocument/2006/customXml" ds:itemID="{4134FB6D-E928-42BC-AC5F-9AF5BC48EDC2}"/>
</file>

<file path=customXml/itemProps3.xml><?xml version="1.0" encoding="utf-8"?>
<ds:datastoreItem xmlns:ds="http://schemas.openxmlformats.org/officeDocument/2006/customXml" ds:itemID="{1CEDE749-549E-4E0C-A496-33741DFE8F2C}"/>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2026-08-25T17:18:32Z</dcterms:created>
  <dcterms:modified xsi:type="dcterms:W3CDTF">2026-08-25T17:18:32Z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