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Risk Assessment &amp; Method Statement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Policy Statement</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providing a safe and healthy work environment for all employees, subcontractors and the public. We achieve this by prioritising risk prevention, implementing effective safe systems of work (SSOW), and adhering to all relevant UK health and safety legislation.</w:t>
      </w:r>
    </w:p>
    <w:p>
      <w:pPr>
        <w:spacing w:after="120" w:line="264"/>
      </w:pPr>
      <w:r>
        <w:rPr>
          <w:rFonts w:ascii="Calibri" w:cs="Calibri" w:eastAsia="Calibri" w:hAnsi="Calibri"/>
          <w:color w:val="1A1A1A"/>
          <w:sz w:val="21"/>
          <w:szCs w:val="21"/>
        </w:rPr>
        <w:t xml:space="preserve">This procedure outlines the process for preparing, communicating, monitoring and reviewing risk assessments and method statements (RAMS) for our work activities. Our approach ensures clear communication of potential hazards and implements controls to minimise the risks associated with our work.</w:t>
      </w:r>
    </w:p>
    <w:p>
      <w:pPr>
        <w:spacing w:after="100" w:before="240"/>
      </w:pPr>
      <w:r>
        <w:rPr>
          <w:rFonts w:ascii="Calibri" w:cs="Calibri" w:eastAsia="Calibri" w:hAnsi="Calibri"/>
          <w:b/>
          <w:bCs/>
          <w:color w:val="06233D"/>
          <w:sz w:val="24"/>
          <w:szCs w:val="24"/>
        </w:rPr>
        <w:t xml:space="preserve">Scope</w:t>
      </w:r>
    </w:p>
    <w:p>
      <w:pPr>
        <w:pStyle w:val="ListParagraph"/>
        <w:numPr>
          <w:ilvl w:val="0"/>
          <w:numId w:val="2"/>
        </w:numPr>
        <w:spacing w:after="70" w:line="264"/>
      </w:pPr>
      <w:r>
        <w:rPr>
          <w:rFonts w:ascii="Calibri" w:cs="Calibri" w:eastAsia="Calibri" w:hAnsi="Calibri"/>
          <w:color w:val="1A1A1A"/>
          <w:sz w:val="21"/>
          <w:szCs w:val="21"/>
        </w:rPr>
        <w:t xml:space="preserve">Managers and supervisors are responsible for the oversight and implementation of this procedure on every site.</w:t>
      </w:r>
    </w:p>
    <w:p>
      <w:pPr>
        <w:pStyle w:val="ListParagraph"/>
        <w:numPr>
          <w:ilvl w:val="0"/>
          <w:numId w:val="2"/>
        </w:numPr>
        <w:spacing w:after="70" w:line="264"/>
      </w:pPr>
      <w:r>
        <w:rPr>
          <w:rFonts w:ascii="Calibri" w:cs="Calibri" w:eastAsia="Calibri" w:hAnsi="Calibri"/>
          <w:color w:val="1A1A1A"/>
          <w:sz w:val="21"/>
          <w:szCs w:val="21"/>
        </w:rPr>
        <w:t xml:space="preserve">Operatives and site staff must adhere to the controls outlined in the RAMS and participate in regular briefings.</w:t>
      </w:r>
    </w:p>
    <w:p>
      <w:pPr>
        <w:pStyle w:val="ListParagraph"/>
        <w:numPr>
          <w:ilvl w:val="0"/>
          <w:numId w:val="2"/>
        </w:numPr>
        <w:spacing w:after="70" w:line="264"/>
      </w:pPr>
      <w:r>
        <w:rPr>
          <w:rFonts w:ascii="Calibri" w:cs="Calibri" w:eastAsia="Calibri" w:hAnsi="Calibri"/>
          <w:color w:val="1A1A1A"/>
          <w:sz w:val="21"/>
          <w:szCs w:val="21"/>
        </w:rPr>
        <w:t xml:space="preserve">Subcontractors working on our projects are required to demonstrate equivalent management practices or fully adopt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's approved safety procedures.</w:t>
      </w:r>
    </w:p>
    <w:p>
      <w:pPr>
        <w:spacing w:after="100" w:before="240"/>
      </w:pPr>
      <w:r>
        <w:rPr>
          <w:rFonts w:ascii="Calibri" w:cs="Calibri" w:eastAsia="Calibri" w:hAnsi="Calibri"/>
          <w:b/>
          <w:bCs/>
          <w:color w:val="06233D"/>
          <w:sz w:val="24"/>
          <w:szCs w:val="24"/>
        </w:rPr>
        <w:t xml:space="preserve">Compliance</w:t>
      </w:r>
    </w:p>
    <w:p>
      <w:pPr>
        <w:spacing w:after="120" w:line="264"/>
      </w:pPr>
      <w:r>
        <w:rPr>
          <w:rFonts w:ascii="Calibri" w:cs="Calibri" w:eastAsia="Calibri" w:hAnsi="Calibri"/>
          <w:color w:val="1A1A1A"/>
          <w:sz w:val="21"/>
          <w:szCs w:val="21"/>
        </w:rPr>
        <w:t xml:space="preserve">This procedure is aligned with the following relevant UK health and safety legislation and best practice:</w:t>
      </w:r>
    </w:p>
    <w:p>
      <w:pPr>
        <w:pStyle w:val="ListParagraph"/>
        <w:numPr>
          <w:ilvl w:val="0"/>
          <w:numId w:val="2"/>
        </w:numPr>
        <w:spacing w:after="70" w:line="264"/>
      </w:pPr>
      <w:r>
        <w:rPr>
          <w:rFonts w:ascii="Calibri" w:cs="Calibri" w:eastAsia="Calibri" w:hAnsi="Calibri"/>
          <w:color w:val="1A1A1A"/>
          <w:sz w:val="21"/>
          <w:szCs w:val="21"/>
        </w:rPr>
        <w:t xml:space="preserve">Health and Safety at Work etc. Act 1974</w:t>
      </w:r>
    </w:p>
    <w:p>
      <w:pPr>
        <w:pStyle w:val="ListParagraph"/>
        <w:numPr>
          <w:ilvl w:val="0"/>
          <w:numId w:val="2"/>
        </w:numPr>
        <w:spacing w:after="70" w:line="264"/>
      </w:pPr>
      <w:r>
        <w:rPr>
          <w:rFonts w:ascii="Calibri" w:cs="Calibri" w:eastAsia="Calibri" w:hAnsi="Calibri"/>
          <w:color w:val="1A1A1A"/>
          <w:sz w:val="21"/>
          <w:szCs w:val="21"/>
        </w:rPr>
        <w:t xml:space="preserve">Management of Health and Safety at Work Regulations 1999</w:t>
      </w:r>
    </w:p>
    <w:p>
      <w:pPr>
        <w:pStyle w:val="ListParagraph"/>
        <w:numPr>
          <w:ilvl w:val="0"/>
          <w:numId w:val="2"/>
        </w:numPr>
        <w:spacing w:after="70" w:line="264"/>
      </w:pPr>
      <w:r>
        <w:rPr>
          <w:rFonts w:ascii="Calibri" w:cs="Calibri" w:eastAsia="Calibri" w:hAnsi="Calibri"/>
          <w:color w:val="1A1A1A"/>
          <w:sz w:val="21"/>
          <w:szCs w:val="21"/>
        </w:rPr>
        <w:t xml:space="preserve">Construction (Design and Management) Regulations 2015 (CDM), where applicable</w:t>
      </w:r>
    </w:p>
    <w:p>
      <w:pPr>
        <w:pStyle w:val="ListParagraph"/>
        <w:numPr>
          <w:ilvl w:val="0"/>
          <w:numId w:val="2"/>
        </w:numPr>
        <w:spacing w:after="70" w:line="264"/>
      </w:pPr>
      <w:r>
        <w:rPr>
          <w:rFonts w:ascii="Calibri" w:cs="Calibri" w:eastAsia="Calibri" w:hAnsi="Calibri"/>
          <w:color w:val="1A1A1A"/>
          <w:sz w:val="21"/>
          <w:szCs w:val="21"/>
        </w:rPr>
        <w:t xml:space="preserve">HSE 'Five steps to risk assessment'</w:t>
      </w:r>
    </w:p>
    <w:p>
      <w:pPr>
        <w:pStyle w:val="ListParagraph"/>
        <w:numPr>
          <w:ilvl w:val="0"/>
          <w:numId w:val="2"/>
        </w:numPr>
        <w:spacing w:after="70" w:line="264"/>
      </w:pPr>
      <w:r>
        <w:rPr>
          <w:rFonts w:ascii="Calibri" w:cs="Calibri" w:eastAsia="Calibri" w:hAnsi="Calibri"/>
          <w:color w:val="1A1A1A"/>
          <w:sz w:val="21"/>
          <w:szCs w:val="21"/>
        </w:rPr>
        <w:t xml:space="preserve">Building Safety Act 2022, where applicable</w:t>
      </w:r>
    </w:p>
    <w:p>
      <w:pPr>
        <w:spacing w:after="100" w:before="240"/>
      </w:pPr>
      <w:r>
        <w:rPr>
          <w:rFonts w:ascii="Calibri" w:cs="Calibri" w:eastAsia="Calibri" w:hAnsi="Calibri"/>
          <w:b/>
          <w:bCs/>
          <w:color w:val="06233D"/>
          <w:sz w:val="24"/>
          <w:szCs w:val="24"/>
        </w:rPr>
        <w:t xml:space="preserve">Responsibilities</w:t>
      </w:r>
    </w:p>
    <w:p>
      <w:pPr>
        <w:pStyle w:val="ListParagraph"/>
        <w:numPr>
          <w:ilvl w:val="0"/>
          <w:numId w:val="2"/>
        </w:numPr>
        <w:spacing w:after="70" w:line="264"/>
      </w:pPr>
      <w:r>
        <w:rPr>
          <w:rFonts w:ascii="Calibri" w:cs="Calibri" w:eastAsia="Calibri" w:hAnsi="Calibri"/>
          <w:color w:val="1A1A1A"/>
          <w:sz w:val="21"/>
          <w:szCs w:val="21"/>
        </w:rPr>
        <w:t xml:space="preserve">Senior management leads health and safety, oversees this procedure, and allocates the resources needed for effective implementation.</w:t>
      </w:r>
    </w:p>
    <w:p>
      <w:pPr>
        <w:pStyle w:val="ListParagraph"/>
        <w:numPr>
          <w:ilvl w:val="0"/>
          <w:numId w:val="2"/>
        </w:numPr>
        <w:spacing w:after="70" w:line="264"/>
      </w:pPr>
      <w:r>
        <w:rPr>
          <w:rFonts w:ascii="Calibri" w:cs="Calibri" w:eastAsia="Calibri" w:hAnsi="Calibri"/>
          <w:color w:val="1A1A1A"/>
          <w:sz w:val="21"/>
          <w:szCs w:val="21"/>
        </w:rPr>
        <w:t xml:space="preserve">Managers ensure RAMS are developed, implemented and reviewed for every relevant activity.</w:t>
      </w:r>
    </w:p>
    <w:p>
      <w:pPr>
        <w:pStyle w:val="ListParagraph"/>
        <w:numPr>
          <w:ilvl w:val="0"/>
          <w:numId w:val="2"/>
        </w:numPr>
        <w:spacing w:after="70" w:line="264"/>
      </w:pPr>
      <w:r>
        <w:rPr>
          <w:rFonts w:ascii="Calibri" w:cs="Calibri" w:eastAsia="Calibri" w:hAnsi="Calibri"/>
          <w:color w:val="1A1A1A"/>
          <w:sz w:val="21"/>
          <w:szCs w:val="21"/>
        </w:rPr>
        <w:t xml:space="preserve">Supervisors conduct regular worksite inspections, monitor compliance, and brief the team on task-specific measures.</w:t>
      </w:r>
    </w:p>
    <w:p>
      <w:pPr>
        <w:pStyle w:val="ListParagraph"/>
        <w:numPr>
          <w:ilvl w:val="0"/>
          <w:numId w:val="2"/>
        </w:numPr>
        <w:spacing w:after="70" w:line="264"/>
      </w:pPr>
      <w:r>
        <w:rPr>
          <w:rFonts w:ascii="Calibri" w:cs="Calibri" w:eastAsia="Calibri" w:hAnsi="Calibri"/>
          <w:color w:val="1A1A1A"/>
          <w:sz w:val="21"/>
          <w:szCs w:val="21"/>
        </w:rPr>
        <w:t xml:space="preserve">Operatives follow all agreed RAMS, identify potential hazards, and take part in safety briefings.</w:t>
      </w:r>
    </w:p>
    <w:p>
      <w:pPr>
        <w:pStyle w:val="ListParagraph"/>
        <w:numPr>
          <w:ilvl w:val="0"/>
          <w:numId w:val="2"/>
        </w:numPr>
        <w:spacing w:after="70" w:line="264"/>
      </w:pPr>
      <w:r>
        <w:rPr>
          <w:rFonts w:ascii="Calibri" w:cs="Calibri" w:eastAsia="Calibri" w:hAnsi="Calibri"/>
          <w:color w:val="1A1A1A"/>
          <w:sz w:val="21"/>
          <w:szCs w:val="21"/>
        </w:rPr>
        <w:t xml:space="preserve">The health and safety adviser (internal or external) provides expert guidance on RAMS development, reviews subcontractor documentation, and audits site implementation.</w:t>
      </w:r>
    </w:p>
    <w:p>
      <w:pPr>
        <w:spacing w:after="100" w:before="240"/>
      </w:pPr>
      <w:r>
        <w:rPr>
          <w:rFonts w:ascii="Calibri" w:cs="Calibri" w:eastAsia="Calibri" w:hAnsi="Calibri"/>
          <w:b/>
          <w:bCs/>
          <w:color w:val="06233D"/>
          <w:sz w:val="24"/>
          <w:szCs w:val="24"/>
        </w:rPr>
        <w:t xml:space="preserve">Risk Quantification</w:t>
      </w:r>
    </w:p>
    <w:p>
      <w:pPr>
        <w:spacing w:after="120" w:line="264"/>
      </w:pPr>
      <w:r>
        <w:rPr>
          <w:rFonts w:ascii="Calibri" w:cs="Calibri" w:eastAsia="Calibri" w:hAnsi="Calibri"/>
          <w:color w:val="1A1A1A"/>
          <w:sz w:val="21"/>
          <w:szCs w:val="21"/>
        </w:rPr>
        <w:t xml:space="preserve">Risk assessments are completed in line with HSE guidance (Five steps to risk assessment) using a standard 5x5 risk matrix. This considers the likelihood and severity of potential hazards to determine an overall risk score (Likelihood x Severity).</w:t>
      </w:r>
    </w:p>
    <w:p>
      <w:pPr>
        <w:spacing w:after="70" w:before="160"/>
      </w:pPr>
      <w:r>
        <w:rPr>
          <w:rFonts w:ascii="Calibri" w:cs="Calibri" w:eastAsia="Calibri" w:hAnsi="Calibri"/>
          <w:b/>
          <w:bCs/>
          <w:color w:val="06233D"/>
          <w:sz w:val="22"/>
          <w:szCs w:val="22"/>
        </w:rPr>
        <w:t xml:space="preserve">Likelihood</w:t>
      </w:r>
    </w:p>
    <w:p>
      <w:pPr>
        <w:pStyle w:val="ListParagraph"/>
        <w:numPr>
          <w:ilvl w:val="0"/>
          <w:numId w:val="2"/>
        </w:numPr>
        <w:spacing w:after="70" w:line="264"/>
      </w:pPr>
      <w:r>
        <w:rPr>
          <w:rFonts w:ascii="Calibri" w:cs="Calibri" w:eastAsia="Calibri" w:hAnsi="Calibri"/>
          <w:color w:val="1A1A1A"/>
          <w:sz w:val="21"/>
          <w:szCs w:val="21"/>
        </w:rPr>
        <w:t xml:space="preserve">1 - Highly unlikely (0-20%)</w:t>
      </w:r>
    </w:p>
    <w:p>
      <w:pPr>
        <w:pStyle w:val="ListParagraph"/>
        <w:numPr>
          <w:ilvl w:val="0"/>
          <w:numId w:val="2"/>
        </w:numPr>
        <w:spacing w:after="70" w:line="264"/>
      </w:pPr>
      <w:r>
        <w:rPr>
          <w:rFonts w:ascii="Calibri" w:cs="Calibri" w:eastAsia="Calibri" w:hAnsi="Calibri"/>
          <w:color w:val="1A1A1A"/>
          <w:sz w:val="21"/>
          <w:szCs w:val="21"/>
        </w:rPr>
        <w:t xml:space="preserve">2 - Reasonably likely (21-40%)</w:t>
      </w:r>
    </w:p>
    <w:p>
      <w:pPr>
        <w:pStyle w:val="ListParagraph"/>
        <w:numPr>
          <w:ilvl w:val="0"/>
          <w:numId w:val="2"/>
        </w:numPr>
        <w:spacing w:after="70" w:line="264"/>
      </w:pPr>
      <w:r>
        <w:rPr>
          <w:rFonts w:ascii="Calibri" w:cs="Calibri" w:eastAsia="Calibri" w:hAnsi="Calibri"/>
          <w:color w:val="1A1A1A"/>
          <w:sz w:val="21"/>
          <w:szCs w:val="21"/>
        </w:rPr>
        <w:t xml:space="preserve">3 - Even chance (41-60%)</w:t>
      </w:r>
    </w:p>
    <w:p>
      <w:pPr>
        <w:pStyle w:val="ListParagraph"/>
        <w:numPr>
          <w:ilvl w:val="0"/>
          <w:numId w:val="2"/>
        </w:numPr>
        <w:spacing w:after="70" w:line="264"/>
      </w:pPr>
      <w:r>
        <w:rPr>
          <w:rFonts w:ascii="Calibri" w:cs="Calibri" w:eastAsia="Calibri" w:hAnsi="Calibri"/>
          <w:color w:val="1A1A1A"/>
          <w:sz w:val="21"/>
          <w:szCs w:val="21"/>
        </w:rPr>
        <w:t xml:space="preserve">4 - Highly likely (61-80%)</w:t>
      </w:r>
    </w:p>
    <w:p>
      <w:pPr>
        <w:pStyle w:val="ListParagraph"/>
        <w:numPr>
          <w:ilvl w:val="0"/>
          <w:numId w:val="2"/>
        </w:numPr>
        <w:spacing w:after="70" w:line="264"/>
      </w:pPr>
      <w:r>
        <w:rPr>
          <w:rFonts w:ascii="Calibri" w:cs="Calibri" w:eastAsia="Calibri" w:hAnsi="Calibri"/>
          <w:color w:val="1A1A1A"/>
          <w:sz w:val="21"/>
          <w:szCs w:val="21"/>
        </w:rPr>
        <w:t xml:space="preserve">5 - Almost certain (81-100%)</w:t>
      </w:r>
    </w:p>
    <w:p>
      <w:pPr>
        <w:spacing w:after="70" w:before="160"/>
      </w:pPr>
      <w:r>
        <w:rPr>
          <w:rFonts w:ascii="Calibri" w:cs="Calibri" w:eastAsia="Calibri" w:hAnsi="Calibri"/>
          <w:b/>
          <w:bCs/>
          <w:color w:val="06233D"/>
          <w:sz w:val="22"/>
          <w:szCs w:val="22"/>
        </w:rPr>
        <w:t xml:space="preserve">Severity</w:t>
      </w:r>
    </w:p>
    <w:p>
      <w:pPr>
        <w:pStyle w:val="ListParagraph"/>
        <w:numPr>
          <w:ilvl w:val="0"/>
          <w:numId w:val="2"/>
        </w:numPr>
        <w:spacing w:after="70" w:line="264"/>
      </w:pPr>
      <w:r>
        <w:rPr>
          <w:rFonts w:ascii="Calibri" w:cs="Calibri" w:eastAsia="Calibri" w:hAnsi="Calibri"/>
          <w:color w:val="1A1A1A"/>
          <w:sz w:val="21"/>
          <w:szCs w:val="21"/>
        </w:rPr>
        <w:t xml:space="preserve">1 - Minor injury, no lost time (e.g. minor cuts, abrasions)</w:t>
      </w:r>
    </w:p>
    <w:p>
      <w:pPr>
        <w:pStyle w:val="ListParagraph"/>
        <w:numPr>
          <w:ilvl w:val="0"/>
          <w:numId w:val="2"/>
        </w:numPr>
        <w:spacing w:after="70" w:line="264"/>
      </w:pPr>
      <w:r>
        <w:rPr>
          <w:rFonts w:ascii="Calibri" w:cs="Calibri" w:eastAsia="Calibri" w:hAnsi="Calibri"/>
          <w:color w:val="1A1A1A"/>
          <w:sz w:val="21"/>
          <w:szCs w:val="21"/>
        </w:rPr>
        <w:t xml:space="preserve">2 - Injury requiring first aid, 1-3 days off</w:t>
      </w:r>
    </w:p>
    <w:p>
      <w:pPr>
        <w:pStyle w:val="ListParagraph"/>
        <w:numPr>
          <w:ilvl w:val="0"/>
          <w:numId w:val="2"/>
        </w:numPr>
        <w:spacing w:after="70" w:line="264"/>
      </w:pPr>
      <w:r>
        <w:rPr>
          <w:rFonts w:ascii="Calibri" w:cs="Calibri" w:eastAsia="Calibri" w:hAnsi="Calibri"/>
          <w:color w:val="1A1A1A"/>
          <w:sz w:val="21"/>
          <w:szCs w:val="21"/>
        </w:rPr>
        <w:t xml:space="preserve">3 - Injury or illness requiring medical treatment, more than 3 days off (RIDDOR reportable)</w:t>
      </w:r>
    </w:p>
    <w:p>
      <w:pPr>
        <w:pStyle w:val="ListParagraph"/>
        <w:numPr>
          <w:ilvl w:val="0"/>
          <w:numId w:val="2"/>
        </w:numPr>
        <w:spacing w:after="70" w:line="264"/>
      </w:pPr>
      <w:r>
        <w:rPr>
          <w:rFonts w:ascii="Calibri" w:cs="Calibri" w:eastAsia="Calibri" w:hAnsi="Calibri"/>
          <w:color w:val="1A1A1A"/>
          <w:sz w:val="21"/>
          <w:szCs w:val="21"/>
        </w:rPr>
        <w:t xml:space="preserve">4 - Serious or long-term injury/illness (RIDDOR reportable)</w:t>
      </w:r>
    </w:p>
    <w:p>
      <w:pPr>
        <w:pStyle w:val="ListParagraph"/>
        <w:numPr>
          <w:ilvl w:val="0"/>
          <w:numId w:val="2"/>
        </w:numPr>
        <w:spacing w:after="70" w:line="264"/>
      </w:pPr>
      <w:r>
        <w:rPr>
          <w:rFonts w:ascii="Calibri" w:cs="Calibri" w:eastAsia="Calibri" w:hAnsi="Calibri"/>
          <w:color w:val="1A1A1A"/>
          <w:sz w:val="21"/>
          <w:szCs w:val="21"/>
        </w:rPr>
        <w:t xml:space="preserve">5 - Major injury or fatality (RIDDOR reportable)</w:t>
      </w:r>
    </w:p>
    <w:p>
      <w:pPr>
        <w:spacing w:after="70" w:before="160"/>
      </w:pPr>
      <w:r>
        <w:rPr>
          <w:rFonts w:ascii="Calibri" w:cs="Calibri" w:eastAsia="Calibri" w:hAnsi="Calibri"/>
          <w:b/>
          <w:bCs/>
          <w:color w:val="06233D"/>
          <w:sz w:val="22"/>
          <w:szCs w:val="22"/>
        </w:rPr>
        <w:t xml:space="preserve">5x5 Risk Matrix</w:t>
      </w:r>
    </w:p>
    <w:tbl>
      <w:tblPr>
        <w:tblW w:type="dxa" w:w="93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1540"/>
        <w:gridCol w:w="1540"/>
        <w:gridCol w:w="1540"/>
        <w:gridCol w:w="1540"/>
        <w:gridCol w:w="1540"/>
      </w:tblGrid>
      <w:tr>
        <w:tc>
          <w:tcPr>
            <w:tcW w:type="dxa" w:w="1600"/>
            <w:shd w:fill="06233D" w:color="auto" w:val="clear"/>
            <w:tcMar>
              <w:top w:type="dxa" w:w="40"/>
              <w:left w:type="dxa" w:w="40"/>
              <w:bottom w:type="dxa" w:w="40"/>
              <w:right w:type="dxa" w:w="40"/>
            </w:tcMar>
          </w:tcPr>
          <w:p>
            <w:pPr>
              <w:jc w:val="center"/>
            </w:pPr>
            <w:r>
              <w:rPr>
                <w:rFonts w:ascii="Calibri" w:cs="Calibri" w:eastAsia="Calibri" w:hAnsi="Calibri"/>
                <w:b/>
                <w:bCs/>
                <w:color w:val="FFFFFF"/>
                <w:sz w:val="16"/>
                <w:szCs w:val="16"/>
              </w:rPr>
              <w:t xml:space="preserve">L ↓ / S →</w:t>
            </w:r>
          </w:p>
        </w:tc>
        <w:tc>
          <w:tcPr>
            <w:tcW w:type="dxa" w:w="1540"/>
            <w:shd w:fill="06233D" w:color="auto" w:val="clear"/>
            <w:tcMar>
              <w:top w:type="dxa" w:w="40"/>
              <w:bottom w:type="dxa" w:w="40"/>
            </w:tcMar>
          </w:tcPr>
          <w:p>
            <w:pPr>
              <w:jc w:val="center"/>
            </w:pPr>
            <w:r>
              <w:rPr>
                <w:rFonts w:ascii="Calibri" w:cs="Calibri" w:eastAsia="Calibri" w:hAnsi="Calibri"/>
                <w:b/>
                <w:bCs/>
                <w:color w:val="FFFFFF"/>
                <w:sz w:val="18"/>
                <w:szCs w:val="18"/>
              </w:rPr>
              <w:t xml:space="preserve">1</w:t>
            </w:r>
          </w:p>
        </w:tc>
        <w:tc>
          <w:tcPr>
            <w:tcW w:type="dxa" w:w="1540"/>
            <w:shd w:fill="06233D" w:color="auto" w:val="clear"/>
            <w:tcMar>
              <w:top w:type="dxa" w:w="40"/>
              <w:bottom w:type="dxa" w:w="40"/>
            </w:tcMar>
          </w:tcPr>
          <w:p>
            <w:pPr>
              <w:jc w:val="center"/>
            </w:pPr>
            <w:r>
              <w:rPr>
                <w:rFonts w:ascii="Calibri" w:cs="Calibri" w:eastAsia="Calibri" w:hAnsi="Calibri"/>
                <w:b/>
                <w:bCs/>
                <w:color w:val="FFFFFF"/>
                <w:sz w:val="18"/>
                <w:szCs w:val="18"/>
              </w:rPr>
              <w:t xml:space="preserve">2</w:t>
            </w:r>
          </w:p>
        </w:tc>
        <w:tc>
          <w:tcPr>
            <w:tcW w:type="dxa" w:w="1540"/>
            <w:shd w:fill="06233D" w:color="auto" w:val="clear"/>
            <w:tcMar>
              <w:top w:type="dxa" w:w="40"/>
              <w:bottom w:type="dxa" w:w="40"/>
            </w:tcMar>
          </w:tcPr>
          <w:p>
            <w:pPr>
              <w:jc w:val="center"/>
            </w:pPr>
            <w:r>
              <w:rPr>
                <w:rFonts w:ascii="Calibri" w:cs="Calibri" w:eastAsia="Calibri" w:hAnsi="Calibri"/>
                <w:b/>
                <w:bCs/>
                <w:color w:val="FFFFFF"/>
                <w:sz w:val="18"/>
                <w:szCs w:val="18"/>
              </w:rPr>
              <w:t xml:space="preserve">3</w:t>
            </w:r>
          </w:p>
        </w:tc>
        <w:tc>
          <w:tcPr>
            <w:tcW w:type="dxa" w:w="1540"/>
            <w:shd w:fill="06233D" w:color="auto" w:val="clear"/>
            <w:tcMar>
              <w:top w:type="dxa" w:w="40"/>
              <w:bottom w:type="dxa" w:w="40"/>
            </w:tcMar>
          </w:tcPr>
          <w:p>
            <w:pPr>
              <w:jc w:val="center"/>
            </w:pPr>
            <w:r>
              <w:rPr>
                <w:rFonts w:ascii="Calibri" w:cs="Calibri" w:eastAsia="Calibri" w:hAnsi="Calibri"/>
                <w:b/>
                <w:bCs/>
                <w:color w:val="FFFFFF"/>
                <w:sz w:val="18"/>
                <w:szCs w:val="18"/>
              </w:rPr>
              <w:t xml:space="preserve">4</w:t>
            </w:r>
          </w:p>
        </w:tc>
        <w:tc>
          <w:tcPr>
            <w:tcW w:type="dxa" w:w="1540"/>
            <w:shd w:fill="06233D" w:color="auto" w:val="clear"/>
            <w:tcMar>
              <w:top w:type="dxa" w:w="40"/>
              <w:bottom w:type="dxa" w:w="40"/>
            </w:tcMar>
          </w:tcPr>
          <w:p>
            <w:pPr>
              <w:jc w:val="center"/>
            </w:pPr>
            <w:r>
              <w:rPr>
                <w:rFonts w:ascii="Calibri" w:cs="Calibri" w:eastAsia="Calibri" w:hAnsi="Calibri"/>
                <w:b/>
                <w:bCs/>
                <w:color w:val="FFFFFF"/>
                <w:sz w:val="18"/>
                <w:szCs w:val="18"/>
              </w:rPr>
              <w:t xml:space="preserve">5</w:t>
            </w:r>
          </w:p>
        </w:tc>
      </w:tr>
      <w:tr>
        <w:tc>
          <w:tcPr>
            <w:tcW w:type="dxa" w:w="1600"/>
            <w:shd w:fill="06233D" w:color="auto" w:val="clear"/>
            <w:tcMar>
              <w:top w:type="dxa" w:w="40"/>
              <w:bottom w:type="dxa" w:w="40"/>
            </w:tcMar>
          </w:tcPr>
          <w:p>
            <w:pPr>
              <w:jc w:val="center"/>
            </w:pPr>
            <w:r>
              <w:rPr>
                <w:rFonts w:ascii="Calibri" w:cs="Calibri" w:eastAsia="Calibri" w:hAnsi="Calibri"/>
                <w:b/>
                <w:bCs/>
                <w:color w:val="FFFFFF"/>
                <w:sz w:val="18"/>
                <w:szCs w:val="18"/>
              </w:rPr>
              <w:t xml:space="preserve">5</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5</w:t>
            </w:r>
          </w:p>
        </w:tc>
        <w:tc>
          <w:tcPr>
            <w:tcW w:type="dxa" w:w="1540"/>
            <w:shd w:fill="FCA55E" w:color="auto" w:val="clear"/>
            <w:tcMar>
              <w:top w:type="dxa" w:w="60"/>
              <w:bottom w:type="dxa" w:w="60"/>
            </w:tcMar>
          </w:tcPr>
          <w:p>
            <w:pPr>
              <w:jc w:val="center"/>
            </w:pPr>
            <w:r>
              <w:rPr>
                <w:rFonts w:ascii="Calibri" w:cs="Calibri" w:eastAsia="Calibri" w:hAnsi="Calibri"/>
                <w:b/>
                <w:bCs/>
                <w:color w:val="1A1A1A"/>
                <w:sz w:val="18"/>
                <w:szCs w:val="18"/>
              </w:rPr>
              <w:t xml:space="preserve">10</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15</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20</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25</w:t>
            </w:r>
          </w:p>
        </w:tc>
      </w:tr>
      <w:tr>
        <w:tc>
          <w:tcPr>
            <w:tcW w:type="dxa" w:w="1600"/>
            <w:shd w:fill="06233D" w:color="auto" w:val="clear"/>
            <w:tcMar>
              <w:top w:type="dxa" w:w="40"/>
              <w:bottom w:type="dxa" w:w="40"/>
            </w:tcMar>
          </w:tcPr>
          <w:p>
            <w:pPr>
              <w:jc w:val="center"/>
            </w:pPr>
            <w:r>
              <w:rPr>
                <w:rFonts w:ascii="Calibri" w:cs="Calibri" w:eastAsia="Calibri" w:hAnsi="Calibri"/>
                <w:b/>
                <w:bCs/>
                <w:color w:val="FFFFFF"/>
                <w:sz w:val="18"/>
                <w:szCs w:val="18"/>
              </w:rPr>
              <w:t xml:space="preserve">4</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4</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8</w:t>
            </w:r>
          </w:p>
        </w:tc>
        <w:tc>
          <w:tcPr>
            <w:tcW w:type="dxa" w:w="1540"/>
            <w:shd w:fill="FCA55E" w:color="auto" w:val="clear"/>
            <w:tcMar>
              <w:top w:type="dxa" w:w="60"/>
              <w:bottom w:type="dxa" w:w="60"/>
            </w:tcMar>
          </w:tcPr>
          <w:p>
            <w:pPr>
              <w:jc w:val="center"/>
            </w:pPr>
            <w:r>
              <w:rPr>
                <w:rFonts w:ascii="Calibri" w:cs="Calibri" w:eastAsia="Calibri" w:hAnsi="Calibri"/>
                <w:b/>
                <w:bCs/>
                <w:color w:val="1A1A1A"/>
                <w:sz w:val="18"/>
                <w:szCs w:val="18"/>
              </w:rPr>
              <w:t xml:space="preserve">12</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16</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20</w:t>
            </w:r>
          </w:p>
        </w:tc>
      </w:tr>
      <w:tr>
        <w:tc>
          <w:tcPr>
            <w:tcW w:type="dxa" w:w="1600"/>
            <w:shd w:fill="06233D" w:color="auto" w:val="clear"/>
            <w:tcMar>
              <w:top w:type="dxa" w:w="40"/>
              <w:bottom w:type="dxa" w:w="40"/>
            </w:tcMar>
          </w:tcPr>
          <w:p>
            <w:pPr>
              <w:jc w:val="center"/>
            </w:pPr>
            <w:r>
              <w:rPr>
                <w:rFonts w:ascii="Calibri" w:cs="Calibri" w:eastAsia="Calibri" w:hAnsi="Calibri"/>
                <w:b/>
                <w:bCs/>
                <w:color w:val="FFFFFF"/>
                <w:sz w:val="18"/>
                <w:szCs w:val="18"/>
              </w:rPr>
              <w:t xml:space="preserve">3</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3</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6</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9</w:t>
            </w:r>
          </w:p>
        </w:tc>
        <w:tc>
          <w:tcPr>
            <w:tcW w:type="dxa" w:w="1540"/>
            <w:shd w:fill="FCA55E" w:color="auto" w:val="clear"/>
            <w:tcMar>
              <w:top w:type="dxa" w:w="60"/>
              <w:bottom w:type="dxa" w:w="60"/>
            </w:tcMar>
          </w:tcPr>
          <w:p>
            <w:pPr>
              <w:jc w:val="center"/>
            </w:pPr>
            <w:r>
              <w:rPr>
                <w:rFonts w:ascii="Calibri" w:cs="Calibri" w:eastAsia="Calibri" w:hAnsi="Calibri"/>
                <w:b/>
                <w:bCs/>
                <w:color w:val="1A1A1A"/>
                <w:sz w:val="18"/>
                <w:szCs w:val="18"/>
              </w:rPr>
              <w:t xml:space="preserve">12</w:t>
            </w:r>
          </w:p>
        </w:tc>
        <w:tc>
          <w:tcPr>
            <w:tcW w:type="dxa" w:w="1540"/>
            <w:shd w:fill="F8696B" w:color="auto" w:val="clear"/>
            <w:tcMar>
              <w:top w:type="dxa" w:w="60"/>
              <w:bottom w:type="dxa" w:w="60"/>
            </w:tcMar>
          </w:tcPr>
          <w:p>
            <w:pPr>
              <w:jc w:val="center"/>
            </w:pPr>
            <w:r>
              <w:rPr>
                <w:rFonts w:ascii="Calibri" w:cs="Calibri" w:eastAsia="Calibri" w:hAnsi="Calibri"/>
                <w:b/>
                <w:bCs/>
                <w:color w:val="1A1A1A"/>
                <w:sz w:val="18"/>
                <w:szCs w:val="18"/>
              </w:rPr>
              <w:t xml:space="preserve">15</w:t>
            </w:r>
          </w:p>
        </w:tc>
      </w:tr>
      <w:tr>
        <w:tc>
          <w:tcPr>
            <w:tcW w:type="dxa" w:w="1600"/>
            <w:shd w:fill="06233D" w:color="auto" w:val="clear"/>
            <w:tcMar>
              <w:top w:type="dxa" w:w="40"/>
              <w:bottom w:type="dxa" w:w="40"/>
            </w:tcMar>
          </w:tcPr>
          <w:p>
            <w:pPr>
              <w:jc w:val="center"/>
            </w:pPr>
            <w:r>
              <w:rPr>
                <w:rFonts w:ascii="Calibri" w:cs="Calibri" w:eastAsia="Calibri" w:hAnsi="Calibri"/>
                <w:b/>
                <w:bCs/>
                <w:color w:val="FFFFFF"/>
                <w:sz w:val="18"/>
                <w:szCs w:val="18"/>
              </w:rPr>
              <w:t xml:space="preserve">2</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2</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4</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6</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8</w:t>
            </w:r>
          </w:p>
        </w:tc>
        <w:tc>
          <w:tcPr>
            <w:tcW w:type="dxa" w:w="1540"/>
            <w:shd w:fill="FCA55E" w:color="auto" w:val="clear"/>
            <w:tcMar>
              <w:top w:type="dxa" w:w="60"/>
              <w:bottom w:type="dxa" w:w="60"/>
            </w:tcMar>
          </w:tcPr>
          <w:p>
            <w:pPr>
              <w:jc w:val="center"/>
            </w:pPr>
            <w:r>
              <w:rPr>
                <w:rFonts w:ascii="Calibri" w:cs="Calibri" w:eastAsia="Calibri" w:hAnsi="Calibri"/>
                <w:b/>
                <w:bCs/>
                <w:color w:val="1A1A1A"/>
                <w:sz w:val="18"/>
                <w:szCs w:val="18"/>
              </w:rPr>
              <w:t xml:space="preserve">10</w:t>
            </w:r>
          </w:p>
        </w:tc>
      </w:tr>
      <w:tr>
        <w:tc>
          <w:tcPr>
            <w:tcW w:type="dxa" w:w="1600"/>
            <w:shd w:fill="06233D" w:color="auto" w:val="clear"/>
            <w:tcMar>
              <w:top w:type="dxa" w:w="40"/>
              <w:bottom w:type="dxa" w:w="40"/>
            </w:tcMar>
          </w:tcPr>
          <w:p>
            <w:pPr>
              <w:jc w:val="center"/>
            </w:pPr>
            <w:r>
              <w:rPr>
                <w:rFonts w:ascii="Calibri" w:cs="Calibri" w:eastAsia="Calibri" w:hAnsi="Calibri"/>
                <w:b/>
                <w:bCs/>
                <w:color w:val="FFFFFF"/>
                <w:sz w:val="18"/>
                <w:szCs w:val="18"/>
              </w:rPr>
              <w:t xml:space="preserve">1</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1</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2</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3</w:t>
            </w:r>
          </w:p>
        </w:tc>
        <w:tc>
          <w:tcPr>
            <w:tcW w:type="dxa" w:w="1540"/>
            <w:shd w:fill="63BE7B" w:color="auto" w:val="clear"/>
            <w:tcMar>
              <w:top w:type="dxa" w:w="60"/>
              <w:bottom w:type="dxa" w:w="60"/>
            </w:tcMar>
          </w:tcPr>
          <w:p>
            <w:pPr>
              <w:jc w:val="center"/>
            </w:pPr>
            <w:r>
              <w:rPr>
                <w:rFonts w:ascii="Calibri" w:cs="Calibri" w:eastAsia="Calibri" w:hAnsi="Calibri"/>
                <w:b/>
                <w:bCs/>
                <w:color w:val="1A1A1A"/>
                <w:sz w:val="18"/>
                <w:szCs w:val="18"/>
              </w:rPr>
              <w:t xml:space="preserve">4</w:t>
            </w:r>
          </w:p>
        </w:tc>
        <w:tc>
          <w:tcPr>
            <w:tcW w:type="dxa" w:w="1540"/>
            <w:shd w:fill="FFEB84" w:color="auto" w:val="clear"/>
            <w:tcMar>
              <w:top w:type="dxa" w:w="60"/>
              <w:bottom w:type="dxa" w:w="60"/>
            </w:tcMar>
          </w:tcPr>
          <w:p>
            <w:pPr>
              <w:jc w:val="center"/>
            </w:pPr>
            <w:r>
              <w:rPr>
                <w:rFonts w:ascii="Calibri" w:cs="Calibri" w:eastAsia="Calibri" w:hAnsi="Calibri"/>
                <w:b/>
                <w:bCs/>
                <w:color w:val="1A1A1A"/>
                <w:sz w:val="18"/>
                <w:szCs w:val="18"/>
              </w:rPr>
              <w:t xml:space="preserve">5</w:t>
            </w:r>
          </w:p>
        </w:tc>
      </w:tr>
    </w:tbl>
    <w:p>
      <w:pPr>
        <w:spacing w:after="120"/>
      </w:pPr>
    </w:p>
    <w:p>
      <w:pPr>
        <w:spacing w:after="70" w:before="160"/>
      </w:pPr>
      <w:r>
        <w:rPr>
          <w:rFonts w:ascii="Calibri" w:cs="Calibri" w:eastAsia="Calibri" w:hAnsi="Calibri"/>
          <w:b/>
          <w:bCs/>
          <w:color w:val="06233D"/>
          <w:sz w:val="22"/>
          <w:szCs w:val="22"/>
        </w:rPr>
        <w:t xml:space="preserve">Risk Rating and Action</w:t>
      </w:r>
    </w:p>
    <w:p>
      <w:pPr>
        <w:pStyle w:val="ListParagraph"/>
        <w:numPr>
          <w:ilvl w:val="0"/>
          <w:numId w:val="2"/>
        </w:numPr>
        <w:spacing w:after="70" w:line="264"/>
      </w:pPr>
      <w:r>
        <w:rPr>
          <w:rFonts w:ascii="Calibri" w:cs="Calibri" w:eastAsia="Calibri" w:hAnsi="Calibri"/>
          <w:color w:val="1A1A1A"/>
          <w:sz w:val="21"/>
          <w:szCs w:val="21"/>
        </w:rPr>
        <w:t xml:space="preserve">Low (1-4): Low level of control required - adequate supervision, training and information. Review regularly to ensure the risk does not increase.</w:t>
      </w:r>
    </w:p>
    <w:p>
      <w:pPr>
        <w:pStyle w:val="ListParagraph"/>
        <w:numPr>
          <w:ilvl w:val="0"/>
          <w:numId w:val="2"/>
        </w:numPr>
        <w:spacing w:after="70" w:line="264"/>
      </w:pPr>
      <w:r>
        <w:rPr>
          <w:rFonts w:ascii="Calibri" w:cs="Calibri" w:eastAsia="Calibri" w:hAnsi="Calibri"/>
          <w:color w:val="1A1A1A"/>
          <w:sz w:val="21"/>
          <w:szCs w:val="21"/>
        </w:rPr>
        <w:t xml:space="preserve">Medium (5-12): Moderate control - as above, plus engineering and management safety systems. Review to assess whether the risk can be reduced and ensure competence for safe working.</w:t>
      </w:r>
    </w:p>
    <w:p>
      <w:pPr>
        <w:pStyle w:val="ListParagraph"/>
        <w:numPr>
          <w:ilvl w:val="0"/>
          <w:numId w:val="2"/>
        </w:numPr>
        <w:spacing w:after="70" w:line="264"/>
      </w:pPr>
      <w:r>
        <w:rPr>
          <w:rFonts w:ascii="Calibri" w:cs="Calibri" w:eastAsia="Calibri" w:hAnsi="Calibri"/>
          <w:color w:val="1A1A1A"/>
          <w:sz w:val="21"/>
          <w:szCs w:val="21"/>
        </w:rPr>
        <w:t xml:space="preserve">High (15-25): Unacceptable as-is - high probability of major harm. High level of control required (permits to work, specialist equipment, strict supervision). Use alternative methods to remove or reduce the risk wherever possible; only authorised, competent persons allowed in and around the hazard.</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Generic Task Assessments</w:t>
      </w:r>
    </w:p>
    <w:p>
      <w:pPr>
        <w:pStyle w:val="ListParagraph"/>
        <w:numPr>
          <w:ilvl w:val="0"/>
          <w:numId w:val="2"/>
        </w:numPr>
        <w:spacing w:after="70" w:line="264"/>
      </w:pPr>
      <w:r>
        <w:rPr>
          <w:rFonts w:ascii="Calibri" w:cs="Calibri" w:eastAsia="Calibri" w:hAnsi="Calibri"/>
          <w:color w:val="1A1A1A"/>
          <w:sz w:val="21"/>
          <w:szCs w:val="21"/>
        </w:rPr>
        <w:t xml:space="preserve">Develop generic task assessments for common work activities, in collaboration with managers, supervisors and operatives.</w:t>
      </w:r>
    </w:p>
    <w:p>
      <w:pPr>
        <w:pStyle w:val="ListParagraph"/>
        <w:numPr>
          <w:ilvl w:val="0"/>
          <w:numId w:val="2"/>
        </w:numPr>
        <w:spacing w:after="70" w:line="264"/>
      </w:pPr>
      <w:r>
        <w:rPr>
          <w:rFonts w:ascii="Calibri" w:cs="Calibri" w:eastAsia="Calibri" w:hAnsi="Calibri"/>
          <w:color w:val="1A1A1A"/>
          <w:sz w:val="21"/>
          <w:szCs w:val="21"/>
        </w:rPr>
        <w:t xml:space="preserve">Review these biennially, or following any change in legislation, industry standards, or incident investigations.</w:t>
      </w:r>
    </w:p>
    <w:p>
      <w:pPr>
        <w:spacing w:after="70" w:before="160"/>
      </w:pPr>
      <w:r>
        <w:rPr>
          <w:rFonts w:ascii="Calibri" w:cs="Calibri" w:eastAsia="Calibri" w:hAnsi="Calibri"/>
          <w:b/>
          <w:bCs/>
          <w:color w:val="06233D"/>
          <w:sz w:val="22"/>
          <w:szCs w:val="22"/>
        </w:rPr>
        <w:t xml:space="preserve">Project / Task-Specific RAMS</w:t>
      </w:r>
    </w:p>
    <w:p>
      <w:pPr>
        <w:pStyle w:val="ListParagraph"/>
        <w:numPr>
          <w:ilvl w:val="0"/>
          <w:numId w:val="2"/>
        </w:numPr>
        <w:spacing w:after="70" w:line="264"/>
      </w:pPr>
      <w:r>
        <w:rPr>
          <w:rFonts w:ascii="Calibri" w:cs="Calibri" w:eastAsia="Calibri" w:hAnsi="Calibri"/>
          <w:color w:val="1A1A1A"/>
          <w:sz w:val="21"/>
          <w:szCs w:val="21"/>
        </w:rPr>
        <w:t xml:space="preserve">Develop project-specific RAMS based on the generic assessments, site-specific conditions and current drawings.</w:t>
      </w:r>
    </w:p>
    <w:p>
      <w:pPr>
        <w:pStyle w:val="ListParagraph"/>
        <w:numPr>
          <w:ilvl w:val="0"/>
          <w:numId w:val="2"/>
        </w:numPr>
        <w:spacing w:after="70" w:line="264"/>
      </w:pPr>
      <w:r>
        <w:rPr>
          <w:rFonts w:ascii="Calibri" w:cs="Calibri" w:eastAsia="Calibri" w:hAnsi="Calibri"/>
          <w:color w:val="1A1A1A"/>
          <w:sz w:val="21"/>
          <w:szCs w:val="21"/>
        </w:rPr>
        <w:t xml:space="preserve">Include a stage-by-stage job breakdown and identified hazards using the risk matrix.</w:t>
      </w:r>
    </w:p>
    <w:p>
      <w:pPr>
        <w:pStyle w:val="ListParagraph"/>
        <w:numPr>
          <w:ilvl w:val="0"/>
          <w:numId w:val="2"/>
        </w:numPr>
        <w:spacing w:after="70" w:line="264"/>
      </w:pPr>
      <w:r>
        <w:rPr>
          <w:rFonts w:ascii="Calibri" w:cs="Calibri" w:eastAsia="Calibri" w:hAnsi="Calibri"/>
          <w:color w:val="1A1A1A"/>
          <w:sz w:val="21"/>
          <w:szCs w:val="21"/>
        </w:rPr>
        <w:t xml:space="preserve">Clearly outline control measures, emergency procedures and specific PPE requirements.</w:t>
      </w:r>
    </w:p>
    <w:p>
      <w:pPr>
        <w:pStyle w:val="ListParagraph"/>
        <w:numPr>
          <w:ilvl w:val="0"/>
          <w:numId w:val="2"/>
        </w:numPr>
        <w:spacing w:after="70" w:line="264"/>
      </w:pPr>
      <w:r>
        <w:rPr>
          <w:rFonts w:ascii="Calibri" w:cs="Calibri" w:eastAsia="Calibri" w:hAnsi="Calibri"/>
          <w:color w:val="1A1A1A"/>
          <w:sz w:val="21"/>
          <w:szCs w:val="21"/>
        </w:rPr>
        <w:t xml:space="preserve">Cover communication protocols, timescales, personnel details, and plant/equipment requirements.</w:t>
      </w:r>
    </w:p>
    <w:p>
      <w:pPr>
        <w:pStyle w:val="ListParagraph"/>
        <w:numPr>
          <w:ilvl w:val="0"/>
          <w:numId w:val="2"/>
        </w:numPr>
        <w:spacing w:after="70" w:line="264"/>
      </w:pPr>
      <w:r>
        <w:rPr>
          <w:rFonts w:ascii="Calibri" w:cs="Calibri" w:eastAsia="Calibri" w:hAnsi="Calibri"/>
          <w:color w:val="1A1A1A"/>
          <w:sz w:val="21"/>
          <w:szCs w:val="21"/>
        </w:rPr>
        <w:t xml:space="preserve">Document any limitations, temporary amended systems, and environmental or security arrangements before work begins.</w:t>
      </w:r>
    </w:p>
    <w:p>
      <w:pPr>
        <w:spacing w:after="70" w:before="160"/>
      </w:pPr>
      <w:r>
        <w:rPr>
          <w:rFonts w:ascii="Calibri" w:cs="Calibri" w:eastAsia="Calibri" w:hAnsi="Calibri"/>
          <w:b/>
          <w:bCs/>
          <w:color w:val="06233D"/>
          <w:sz w:val="22"/>
          <w:szCs w:val="22"/>
        </w:rPr>
        <w:t xml:space="preserve">Subcontractor RAMS</w:t>
      </w:r>
    </w:p>
    <w:p>
      <w:pPr>
        <w:pStyle w:val="ListParagraph"/>
        <w:numPr>
          <w:ilvl w:val="0"/>
          <w:numId w:val="2"/>
        </w:numPr>
        <w:spacing w:after="70" w:line="264"/>
      </w:pPr>
      <w:r>
        <w:rPr>
          <w:rFonts w:ascii="Calibri" w:cs="Calibri" w:eastAsia="Calibri" w:hAnsi="Calibri"/>
          <w:color w:val="1A1A1A"/>
          <w:sz w:val="21"/>
          <w:szCs w:val="21"/>
        </w:rPr>
        <w:t xml:space="preserve">Subcontractors must submit their RAMS for review at least seven working days before commencing work on site.</w:t>
      </w:r>
    </w:p>
    <w:p>
      <w:pPr>
        <w:pStyle w:val="ListParagraph"/>
        <w:numPr>
          <w:ilvl w:val="0"/>
          <w:numId w:val="2"/>
        </w:numPr>
        <w:spacing w:after="70" w:line="264"/>
      </w:pPr>
      <w:r>
        <w:rPr>
          <w:rFonts w:ascii="Calibri" w:cs="Calibri" w:eastAsia="Calibri" w:hAnsi="Calibri"/>
          <w:color w:val="1A1A1A"/>
          <w:sz w:val="21"/>
          <w:szCs w:val="21"/>
        </w:rPr>
        <w:t xml:space="preserve">The manager and health &amp; safety adviser review these to ensure they meet project requirements and current best practice.</w:t>
      </w:r>
    </w:p>
    <w:p>
      <w:pPr>
        <w:spacing w:after="70" w:before="160"/>
      </w:pPr>
      <w:r>
        <w:rPr>
          <w:rFonts w:ascii="Calibri" w:cs="Calibri" w:eastAsia="Calibri" w:hAnsi="Calibri"/>
          <w:b/>
          <w:bCs/>
          <w:color w:val="06233D"/>
          <w:sz w:val="22"/>
          <w:szCs w:val="22"/>
        </w:rPr>
        <w:t xml:space="preserve">Work Commencement / Point-of-Work Assessment</w:t>
      </w:r>
    </w:p>
    <w:p>
      <w:pPr>
        <w:pStyle w:val="ListParagraph"/>
        <w:numPr>
          <w:ilvl w:val="0"/>
          <w:numId w:val="2"/>
        </w:numPr>
        <w:spacing w:after="70" w:line="264"/>
      </w:pPr>
      <w:r>
        <w:rPr>
          <w:rFonts w:ascii="Calibri" w:cs="Calibri" w:eastAsia="Calibri" w:hAnsi="Calibri"/>
          <w:color w:val="1A1A1A"/>
          <w:sz w:val="21"/>
          <w:szCs w:val="21"/>
        </w:rPr>
        <w:t xml:space="preserve">The work crew completes a point-of-work (or work commencement) risk assessment before starting any specific task on site.</w:t>
      </w:r>
    </w:p>
    <w:p>
      <w:pPr>
        <w:pStyle w:val="ListParagraph"/>
        <w:numPr>
          <w:ilvl w:val="0"/>
          <w:numId w:val="2"/>
        </w:numPr>
        <w:spacing w:after="70" w:line="264"/>
      </w:pPr>
      <w:r>
        <w:rPr>
          <w:rFonts w:ascii="Calibri" w:cs="Calibri" w:eastAsia="Calibri" w:hAnsi="Calibri"/>
          <w:color w:val="1A1A1A"/>
          <w:sz w:val="21"/>
          <w:szCs w:val="21"/>
        </w:rPr>
        <w:t xml:space="preserve">The supervisor leads the crew through this to identify any unforeseen hazards and confirm the controls are suitable for the immediate working environment.</w:t>
      </w:r>
    </w:p>
    <w:p>
      <w:pPr>
        <w:spacing w:after="100" w:before="240"/>
      </w:pPr>
      <w:r>
        <w:rPr>
          <w:rFonts w:ascii="Calibri" w:cs="Calibri" w:eastAsia="Calibri" w:hAnsi="Calibri"/>
          <w:b/>
          <w:bCs/>
          <w:color w:val="06233D"/>
          <w:sz w:val="24"/>
          <w:szCs w:val="24"/>
        </w:rPr>
        <w:t xml:space="preserve">Office-Based Staff</w:t>
      </w:r>
    </w:p>
    <w:p>
      <w:pPr>
        <w:spacing w:after="120" w:line="264"/>
      </w:pPr>
      <w:r>
        <w:rPr>
          <w:rFonts w:ascii="Calibri" w:cs="Calibri" w:eastAsia="Calibri" w:hAnsi="Calibri"/>
          <w:color w:val="1A1A1A"/>
          <w:sz w:val="21"/>
          <w:szCs w:val="21"/>
        </w:rPr>
        <w:t xml:space="preserve">This procedure also applies to administrative, design, technical and management staff. Common office hazards and controls include:</w:t>
      </w:r>
    </w:p>
    <w:p>
      <w:pPr>
        <w:pStyle w:val="ListParagraph"/>
        <w:numPr>
          <w:ilvl w:val="0"/>
          <w:numId w:val="2"/>
        </w:numPr>
        <w:spacing w:after="70" w:line="264"/>
      </w:pPr>
      <w:r>
        <w:rPr>
          <w:rFonts w:ascii="Calibri" w:cs="Calibri" w:eastAsia="Calibri" w:hAnsi="Calibri"/>
          <w:color w:val="1A1A1A"/>
          <w:sz w:val="21"/>
          <w:szCs w:val="21"/>
        </w:rPr>
        <w:t xml:space="preserve">Display Screen Equipment / MSDs: ergonomic workstations with adjustable chairs and monitors; regular breaks; training on posture and workstation setup.</w:t>
      </w:r>
    </w:p>
    <w:p>
      <w:pPr>
        <w:pStyle w:val="ListParagraph"/>
        <w:numPr>
          <w:ilvl w:val="0"/>
          <w:numId w:val="2"/>
        </w:numPr>
        <w:spacing w:after="70" w:line="264"/>
      </w:pPr>
      <w:r>
        <w:rPr>
          <w:rFonts w:ascii="Calibri" w:cs="Calibri" w:eastAsia="Calibri" w:hAnsi="Calibri"/>
          <w:color w:val="1A1A1A"/>
          <w:sz w:val="21"/>
          <w:szCs w:val="21"/>
        </w:rPr>
        <w:t xml:space="preserve">Slips, Trips and Falls: clear, clutter-free walkways; prompt reporting of spills or uneven surfaces; suitable footwear.</w:t>
      </w:r>
    </w:p>
    <w:p>
      <w:pPr>
        <w:pStyle w:val="ListParagraph"/>
        <w:numPr>
          <w:ilvl w:val="0"/>
          <w:numId w:val="2"/>
        </w:numPr>
        <w:spacing w:after="70" w:line="264"/>
      </w:pPr>
      <w:r>
        <w:rPr>
          <w:rFonts w:ascii="Calibri" w:cs="Calibri" w:eastAsia="Calibri" w:hAnsi="Calibri"/>
          <w:color w:val="1A1A1A"/>
          <w:sz w:val="21"/>
          <w:szCs w:val="21"/>
        </w:rPr>
        <w:t xml:space="preserve">Electrical Safety: regular inspection of cords and equipment; not overloading sockets; prompt reporting of faulty equipment.</w:t>
      </w:r>
    </w:p>
    <w:p>
      <w:pPr>
        <w:pStyle w:val="ListParagraph"/>
        <w:numPr>
          <w:ilvl w:val="0"/>
          <w:numId w:val="2"/>
        </w:numPr>
        <w:spacing w:after="70" w:line="264"/>
      </w:pPr>
      <w:r>
        <w:rPr>
          <w:rFonts w:ascii="Calibri" w:cs="Calibri" w:eastAsia="Calibri" w:hAnsi="Calibri"/>
          <w:color w:val="1A1A1A"/>
          <w:sz w:val="21"/>
          <w:szCs w:val="21"/>
        </w:rPr>
        <w:t xml:space="preserve">Fire Safety: fire safety training; knowing the location of exits and extinguishers; following evacuation procedures.</w:t>
      </w:r>
    </w:p>
    <w:p>
      <w:pPr>
        <w:pStyle w:val="ListParagraph"/>
        <w:numPr>
          <w:ilvl w:val="0"/>
          <w:numId w:val="2"/>
        </w:numPr>
        <w:spacing w:after="70" w:line="264"/>
      </w:pPr>
      <w:r>
        <w:rPr>
          <w:rFonts w:ascii="Calibri" w:cs="Calibri" w:eastAsia="Calibri" w:hAnsi="Calibri"/>
          <w:color w:val="1A1A1A"/>
          <w:sz w:val="21"/>
          <w:szCs w:val="21"/>
        </w:rPr>
        <w:t xml:space="preserve">Work-Related Stress: clear communication of expectations and workloads; flexible arrangements where possible; open communication about workload; promoting work-life balance.</w:t>
      </w:r>
    </w:p>
    <w:p>
      <w:pPr>
        <w:spacing w:after="100" w:before="240"/>
      </w:pPr>
      <w:r>
        <w:rPr>
          <w:rFonts w:ascii="Calibri" w:cs="Calibri" w:eastAsia="Calibri" w:hAnsi="Calibri"/>
          <w:b/>
          <w:bCs/>
          <w:color w:val="06233D"/>
          <w:sz w:val="24"/>
          <w:szCs w:val="24"/>
        </w:rPr>
        <w:t xml:space="preserve">Review</w:t>
      </w:r>
    </w:p>
    <w:p>
      <w:pPr>
        <w:spacing w:after="120" w:line="264"/>
      </w:pPr>
      <w:r>
        <w:rPr>
          <w:rFonts w:ascii="Calibri" w:cs="Calibri" w:eastAsia="Calibri" w:hAnsi="Calibri"/>
          <w:color w:val="1A1A1A"/>
          <w:sz w:val="21"/>
          <w:szCs w:val="21"/>
        </w:rPr>
        <w:t xml:space="preserve">This procedure and its associated risk assessments will be reviewed regularly, following any incident, and whenever the scope of work or risk profile changes.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F5706A-F3CC-4A62-8A0B-680B842D4096}"/>
</file>

<file path=customXml/itemProps2.xml><?xml version="1.0" encoding="utf-8"?>
<ds:datastoreItem xmlns:ds="http://schemas.openxmlformats.org/officeDocument/2006/customXml" ds:itemID="{DD69B92D-6235-4435-A344-EDEA180CFDAA}"/>
</file>

<file path=customXml/itemProps3.xml><?xml version="1.0" encoding="utf-8"?>
<ds:datastoreItem xmlns:ds="http://schemas.openxmlformats.org/officeDocument/2006/customXml" ds:itemID="{38F16BCF-9336-47C0-9433-7792A952C03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