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00"/>
        <w:tblBorders>
          <w:top w:val="single" w:color="06233D" w:sz="6"/>
          <w:left w:val="single" w:color="06233D" w:sz="6"/>
          <w:bottom w:val="single" w:color="06233D" w:sz="6"/>
          <w:right w:val="single" w:color="06233D" w:sz="6"/>
          <w:insideH w:val="single" w:color="06233D" w:sz="6"/>
          <w:insideV w:val="single" w:color="06233D" w:sz="6"/>
        </w:tblBorders>
      </w:tblPr>
      <w:tblGrid>
        <w:gridCol w:w="1700"/>
        <w:gridCol w:w="4300"/>
        <w:gridCol w:w="3300"/>
      </w:tblGrid>
      <w:tr>
        <w:tc>
          <w:tcPr>
            <w:tcW w:type="dxa" w:w="1700"/>
            <w:tcMar>
              <w:top w:type="dxa" w:w="60"/>
              <w:left w:type="dxa" w:w="80"/>
              <w:bottom w:type="dxa" w:w="60"/>
              <w:right w:type="dxa" w:w="80"/>
            </w:tcMar>
            <w:vAlign w:val="center"/>
          </w:tcPr>
          <w:p>
            <w:pPr>
              <w:jc w:val="center"/>
            </w:pPr>
            <w:r>
              <w:rPr>
                <w:rFonts w:ascii="Calibri" w:cs="Calibri" w:eastAsia="Calibri" w:hAnsi="Calibri"/>
                <w:b/>
                <w:bCs/>
                <w:color w:val="C00000"/>
                <w:sz w:val="20"/>
                <w:szCs w:val="20"/>
              </w:rPr>
              <w:t xml:space="preserve">[LOGO]</w:t>
            </w:r>
          </w:p>
        </w:tc>
        <w:tc>
          <w:tcPr>
            <w:tcW w:type="dxa" w:w="4300"/>
            <w:tcMar>
              <w:top w:type="dxa" w:w="60"/>
              <w:left w:type="dxa" w:w="120"/>
              <w:bottom w:type="dxa" w:w="60"/>
              <w:right w:type="dxa" w:w="120"/>
            </w:tcMar>
            <w:vAlign w:val="center"/>
          </w:tcPr>
          <w:p>
            <w:r>
              <w:rPr>
                <w:rFonts w:ascii="Calibri" w:cs="Calibri" w:eastAsia="Calibri" w:hAnsi="Calibri"/>
                <w:b/>
                <w:bCs/>
                <w:color w:val="06233D"/>
                <w:sz w:val="30"/>
                <w:szCs w:val="30"/>
              </w:rPr>
              <w:t xml:space="preserve">Risk &amp; Opportunity Management Procedure</w:t>
            </w:r>
          </w:p>
        </w:tc>
        <w:tc>
          <w:tcPr>
            <w:tcW w:type="dxa" w:w="3300"/>
            <w:tcMar>
              <w:top w:type="dxa" w:w="40"/>
              <w:left w:type="dxa" w:w="40"/>
              <w:bottom w:type="dxa" w:w="40"/>
              <w:right w:type="dxa" w:w="40"/>
            </w:tcMar>
            <w:vAlign w:val="center"/>
          </w:tcPr>
          <w:tbl>
            <w:tblPr>
              <w:tblW w:type="dxa" w:w="3300"/>
              <w:tblBorders>
                <w:top w:val="single" w:color="CAE8FF" w:sz="6"/>
                <w:left w:val="single" w:color="CAE8FF" w:sz="6"/>
                <w:bottom w:val="single" w:color="CAE8FF" w:sz="6"/>
                <w:right w:val="single" w:color="CAE8FF" w:sz="6"/>
                <w:insideH w:val="single" w:color="CAE8FF" w:sz="6"/>
                <w:insideV w:val="single" w:color="CAE8FF" w:sz="6"/>
              </w:tblBorders>
            </w:tblPr>
            <w:tblGrid>
              <w:gridCol w:w="1400"/>
              <w:gridCol w:w="1900"/>
            </w:tblGrid>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Reference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[DOC REF]</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Revision</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[REV]</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Date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[DATE]</w:t>
                  </w:r>
                </w:p>
              </w:tc>
            </w:tr>
          </w:tbl>
          <w:p/>
        </w:tc>
      </w:tr>
    </w:tbl>
    <w:p>
      <w:pPr>
        <w:pBdr>
          <w:bottom w:val="single" w:color="06233D" w:sz="30"/>
        </w:pBdr>
        <w:spacing w:after="160" w:before="60"/>
      </w:pPr>
    </w:p>
    <w:p>
      <w:pPr>
        <w:spacing w:after="100" w:before="240"/>
      </w:pPr>
      <w:r>
        <w:rPr>
          <w:rFonts w:ascii="Calibri" w:cs="Calibri" w:eastAsia="Calibri" w:hAnsi="Calibri"/>
          <w:b/>
          <w:bCs/>
          <w:color w:val="06233D"/>
          <w:sz w:val="24"/>
          <w:szCs w:val="24"/>
        </w:rPr>
        <w:t xml:space="preserve">Introduction</w:t>
      </w:r>
    </w:p>
    <w:p>
      <w:pPr>
        <w:spacing w:after="120" w:line="264"/>
      </w:pPr>
      <w:r>
        <w:rPr>
          <w:rFonts w:ascii="Calibri" w:cs="Calibri" w:eastAsia="Calibri" w:hAnsi="Calibri"/>
          <w:color w:val="1A1A1A"/>
          <w:sz w:val="21"/>
          <w:szCs w:val="21"/>
        </w:rPr>
        <w:t xml:space="preserve">The purpose of this procedure is to define the systematic process for </w:t>
      </w: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to identify, assess, plan, implement and evaluate actions to address risks and opportunities relevant to its management system and its ability to consistently provide products and services that meet customer and applicable statutory and regulatory requirements. This procedure supports the company's commitment to continual improvement.</w:t>
      </w:r>
    </w:p>
    <w:p>
      <w:pPr>
        <w:spacing w:after="100" w:before="240"/>
      </w:pPr>
      <w:r>
        <w:rPr>
          <w:rFonts w:ascii="Calibri" w:cs="Calibri" w:eastAsia="Calibri" w:hAnsi="Calibri"/>
          <w:b/>
          <w:bCs/>
          <w:color w:val="06233D"/>
          <w:sz w:val="24"/>
          <w:szCs w:val="24"/>
        </w:rPr>
        <w:t xml:space="preserve">Scope</w:t>
      </w:r>
    </w:p>
    <w:p>
      <w:pPr>
        <w:spacing w:after="120" w:line="264"/>
      </w:pPr>
      <w:r>
        <w:rPr>
          <w:rFonts w:ascii="Calibri" w:cs="Calibri" w:eastAsia="Calibri" w:hAnsi="Calibri"/>
          <w:color w:val="1A1A1A"/>
          <w:sz w:val="21"/>
          <w:szCs w:val="21"/>
        </w:rPr>
        <w:t xml:space="preserve">This procedure applies to all processes and activities within </w:t>
      </w: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covering all departments and operations. It encompasses all identified risks and opportunities that could affect product or service conformity, customer satisfaction, or the achievement of the company's strategic objectives.</w:t>
      </w:r>
    </w:p>
    <w:p>
      <w:pPr>
        <w:spacing w:after="100" w:before="240"/>
      </w:pPr>
      <w:r>
        <w:rPr>
          <w:rFonts w:ascii="Calibri" w:cs="Calibri" w:eastAsia="Calibri" w:hAnsi="Calibri"/>
          <w:b/>
          <w:bCs/>
          <w:color w:val="06233D"/>
          <w:sz w:val="24"/>
          <w:szCs w:val="24"/>
        </w:rPr>
        <w:t xml:space="preserve">Responsibilities</w:t>
      </w:r>
    </w:p>
    <w:p>
      <w:pPr>
        <w:spacing w:after="70" w:before="160"/>
      </w:pPr>
      <w:r>
        <w:rPr>
          <w:rFonts w:ascii="Calibri" w:cs="Calibri" w:eastAsia="Calibri" w:hAnsi="Calibri"/>
          <w:b/>
          <w:bCs/>
          <w:color w:val="06233D"/>
          <w:sz w:val="22"/>
          <w:szCs w:val="22"/>
        </w:rPr>
        <w:t xml:space="preserve">Director / Senior Management</w:t>
      </w:r>
    </w:p>
    <w:p>
      <w:pPr>
        <w:pStyle w:val="ListParagraph"/>
        <w:numPr>
          <w:ilvl w:val="0"/>
          <w:numId w:val="2"/>
        </w:numPr>
        <w:spacing w:after="70" w:line="264"/>
      </w:pPr>
      <w:r>
        <w:rPr>
          <w:rFonts w:ascii="Calibri" w:cs="Calibri" w:eastAsia="Calibri" w:hAnsi="Calibri"/>
          <w:color w:val="1A1A1A"/>
          <w:sz w:val="21"/>
          <w:szCs w:val="21"/>
        </w:rPr>
        <w:t xml:space="preserve">Overall responsibility for the effectiveness of this procedure.</w:t>
      </w:r>
    </w:p>
    <w:p>
      <w:pPr>
        <w:pStyle w:val="ListParagraph"/>
        <w:numPr>
          <w:ilvl w:val="0"/>
          <w:numId w:val="2"/>
        </w:numPr>
        <w:spacing w:after="70" w:line="264"/>
      </w:pPr>
      <w:r>
        <w:rPr>
          <w:rFonts w:ascii="Calibri" w:cs="Calibri" w:eastAsia="Calibri" w:hAnsi="Calibri"/>
          <w:color w:val="1A1A1A"/>
          <w:sz w:val="21"/>
          <w:szCs w:val="21"/>
        </w:rPr>
        <w:t xml:space="preserve">Ensures adequate resources are available for risk and opportunity management activities.</w:t>
      </w:r>
    </w:p>
    <w:p>
      <w:pPr>
        <w:pStyle w:val="ListParagraph"/>
        <w:numPr>
          <w:ilvl w:val="0"/>
          <w:numId w:val="2"/>
        </w:numPr>
        <w:spacing w:after="70" w:line="264"/>
      </w:pPr>
      <w:r>
        <w:rPr>
          <w:rFonts w:ascii="Calibri" w:cs="Calibri" w:eastAsia="Calibri" w:hAnsi="Calibri"/>
          <w:color w:val="1A1A1A"/>
          <w:sz w:val="21"/>
          <w:szCs w:val="21"/>
        </w:rPr>
        <w:t xml:space="preserve">Reviews and approves significant risk assessments, action plans and evaluation results.</w:t>
      </w:r>
    </w:p>
    <w:p>
      <w:pPr>
        <w:spacing w:after="70" w:before="160"/>
      </w:pPr>
      <w:r>
        <w:rPr>
          <w:rFonts w:ascii="Calibri" w:cs="Calibri" w:eastAsia="Calibri" w:hAnsi="Calibri"/>
          <w:b/>
          <w:bCs/>
          <w:color w:val="06233D"/>
          <w:sz w:val="22"/>
          <w:szCs w:val="22"/>
        </w:rPr>
        <w:t xml:space="preserve">Quality / Management Lead</w:t>
      </w:r>
    </w:p>
    <w:p>
      <w:pPr>
        <w:pStyle w:val="ListParagraph"/>
        <w:numPr>
          <w:ilvl w:val="0"/>
          <w:numId w:val="2"/>
        </w:numPr>
        <w:spacing w:after="70" w:line="264"/>
      </w:pPr>
      <w:r>
        <w:rPr>
          <w:rFonts w:ascii="Calibri" w:cs="Calibri" w:eastAsia="Calibri" w:hAnsi="Calibri"/>
          <w:color w:val="1A1A1A"/>
          <w:sz w:val="21"/>
          <w:szCs w:val="21"/>
        </w:rPr>
        <w:t xml:space="preserve">Facilitates the identification, assessment, planning and evaluation activities.</w:t>
      </w:r>
    </w:p>
    <w:p>
      <w:pPr>
        <w:pStyle w:val="ListParagraph"/>
        <w:numPr>
          <w:ilvl w:val="0"/>
          <w:numId w:val="2"/>
        </w:numPr>
        <w:spacing w:after="70" w:line="264"/>
      </w:pPr>
      <w:r>
        <w:rPr>
          <w:rFonts w:ascii="Calibri" w:cs="Calibri" w:eastAsia="Calibri" w:hAnsi="Calibri"/>
          <w:color w:val="1A1A1A"/>
          <w:sz w:val="21"/>
          <w:szCs w:val="21"/>
        </w:rPr>
        <w:t xml:space="preserve">Maintains the Risk and Opportunity Register.</w:t>
      </w:r>
    </w:p>
    <w:p>
      <w:pPr>
        <w:pStyle w:val="ListParagraph"/>
        <w:numPr>
          <w:ilvl w:val="0"/>
          <w:numId w:val="2"/>
        </w:numPr>
        <w:spacing w:after="70" w:line="264"/>
      </w:pPr>
      <w:r>
        <w:rPr>
          <w:rFonts w:ascii="Calibri" w:cs="Calibri" w:eastAsia="Calibri" w:hAnsi="Calibri"/>
          <w:color w:val="1A1A1A"/>
          <w:sz w:val="21"/>
          <w:szCs w:val="21"/>
        </w:rPr>
        <w:t xml:space="preserve">Provides training and guidance, monitors implementation and reports status during Management Reviews.</w:t>
      </w:r>
    </w:p>
    <w:p>
      <w:pPr>
        <w:spacing w:after="70" w:before="160"/>
      </w:pPr>
      <w:r>
        <w:rPr>
          <w:rFonts w:ascii="Calibri" w:cs="Calibri" w:eastAsia="Calibri" w:hAnsi="Calibri"/>
          <w:b/>
          <w:bCs/>
          <w:color w:val="06233D"/>
          <w:sz w:val="22"/>
          <w:szCs w:val="22"/>
        </w:rPr>
        <w:t xml:space="preserve">Department Managers</w:t>
      </w:r>
    </w:p>
    <w:p>
      <w:pPr>
        <w:pStyle w:val="ListParagraph"/>
        <w:numPr>
          <w:ilvl w:val="0"/>
          <w:numId w:val="2"/>
        </w:numPr>
        <w:spacing w:after="70" w:line="264"/>
      </w:pPr>
      <w:r>
        <w:rPr>
          <w:rFonts w:ascii="Calibri" w:cs="Calibri" w:eastAsia="Calibri" w:hAnsi="Calibri"/>
          <w:color w:val="1A1A1A"/>
          <w:sz w:val="21"/>
          <w:szCs w:val="21"/>
        </w:rPr>
        <w:t xml:space="preserve">Identify risks and opportunities within their areas of responsibility.</w:t>
      </w:r>
    </w:p>
    <w:p>
      <w:pPr>
        <w:pStyle w:val="ListParagraph"/>
        <w:numPr>
          <w:ilvl w:val="0"/>
          <w:numId w:val="2"/>
        </w:numPr>
        <w:spacing w:after="70" w:line="264"/>
      </w:pPr>
      <w:r>
        <w:rPr>
          <w:rFonts w:ascii="Calibri" w:cs="Calibri" w:eastAsia="Calibri" w:hAnsi="Calibri"/>
          <w:color w:val="1A1A1A"/>
          <w:sz w:val="21"/>
          <w:szCs w:val="21"/>
        </w:rPr>
        <w:t xml:space="preserve">Participate in assessment and action planning, and ensure agreed actions are implemented.</w:t>
      </w:r>
    </w:p>
    <w:p>
      <w:pPr>
        <w:spacing w:after="70" w:before="160"/>
      </w:pPr>
      <w:r>
        <w:rPr>
          <w:rFonts w:ascii="Calibri" w:cs="Calibri" w:eastAsia="Calibri" w:hAnsi="Calibri"/>
          <w:b/>
          <w:bCs/>
          <w:color w:val="06233D"/>
          <w:sz w:val="22"/>
          <w:szCs w:val="22"/>
        </w:rPr>
        <w:t xml:space="preserve">Employees</w:t>
      </w:r>
    </w:p>
    <w:p>
      <w:pPr>
        <w:pStyle w:val="ListParagraph"/>
        <w:numPr>
          <w:ilvl w:val="0"/>
          <w:numId w:val="2"/>
        </w:numPr>
        <w:spacing w:after="70" w:line="264"/>
      </w:pPr>
      <w:r>
        <w:rPr>
          <w:rFonts w:ascii="Calibri" w:cs="Calibri" w:eastAsia="Calibri" w:hAnsi="Calibri"/>
          <w:color w:val="1A1A1A"/>
          <w:sz w:val="21"/>
          <w:szCs w:val="21"/>
        </w:rPr>
        <w:t xml:space="preserve">Are encouraged to identify and report potential risks and opportunities related to their work.</w:t>
      </w:r>
    </w:p>
    <w:p>
      <w:pPr>
        <w:spacing w:after="100" w:before="240"/>
      </w:pPr>
      <w:r>
        <w:rPr>
          <w:rFonts w:ascii="Calibri" w:cs="Calibri" w:eastAsia="Calibri" w:hAnsi="Calibri"/>
          <w:b/>
          <w:bCs/>
          <w:color w:val="06233D"/>
          <w:sz w:val="24"/>
          <w:szCs w:val="24"/>
        </w:rPr>
        <w:t xml:space="preserve">Procedure</w:t>
      </w:r>
    </w:p>
    <w:p>
      <w:pPr>
        <w:spacing w:after="70" w:before="160"/>
      </w:pPr>
      <w:r>
        <w:rPr>
          <w:rFonts w:ascii="Calibri" w:cs="Calibri" w:eastAsia="Calibri" w:hAnsi="Calibri"/>
          <w:b/>
          <w:bCs/>
          <w:color w:val="06233D"/>
          <w:sz w:val="22"/>
          <w:szCs w:val="22"/>
        </w:rPr>
        <w:t xml:space="preserve">Identification</w:t>
      </w:r>
    </w:p>
    <w:p>
      <w:pPr>
        <w:spacing w:after="120" w:line="264"/>
      </w:pPr>
      <w:r>
        <w:rPr>
          <w:rFonts w:ascii="Calibri" w:cs="Calibri" w:eastAsia="Calibri" w:hAnsi="Calibri"/>
          <w:color w:val="1A1A1A"/>
          <w:sz w:val="21"/>
          <w:szCs w:val="21"/>
        </w:rPr>
        <w:t xml:space="preserve">Risks and opportunities are identified on an ongoing basis through internal context (e.g. resource availability, competence, performance data, non-conformities, audits and employee feedback) and external context (e.g. economic conditions, technological change, market trends, supplier performance, and statutory and regulatory requirements).</w:t>
      </w:r>
    </w:p>
    <w:p>
      <w:pPr>
        <w:spacing w:after="120" w:line="264"/>
      </w:pPr>
      <w:r>
        <w:rPr>
          <w:rFonts w:ascii="Calibri" w:cs="Calibri" w:eastAsia="Calibri" w:hAnsi="Calibri"/>
          <w:color w:val="1A1A1A"/>
          <w:sz w:val="21"/>
          <w:szCs w:val="21"/>
        </w:rPr>
        <w:t xml:space="preserve">They are captured through management review meetings, SWOT analysis, departmental meetings, customer feedback, supplier evaluations, internal audit findings, and direct reporting by any employee.</w:t>
      </w:r>
    </w:p>
    <w:p>
      <w:pPr>
        <w:spacing w:after="70" w:before="160"/>
      </w:pPr>
      <w:r>
        <w:rPr>
          <w:rFonts w:ascii="Calibri" w:cs="Calibri" w:eastAsia="Calibri" w:hAnsi="Calibri"/>
          <w:b/>
          <w:bCs/>
          <w:color w:val="06233D"/>
          <w:sz w:val="22"/>
          <w:szCs w:val="22"/>
        </w:rPr>
        <w:t xml:space="preserve">Assessment</w:t>
      </w:r>
    </w:p>
    <w:p>
      <w:pPr>
        <w:spacing w:after="120" w:line="264"/>
      </w:pPr>
      <w:r>
        <w:rPr>
          <w:rFonts w:ascii="Calibri" w:cs="Calibri" w:eastAsia="Calibri" w:hAnsi="Calibri"/>
          <w:color w:val="1A1A1A"/>
          <w:sz w:val="21"/>
          <w:szCs w:val="21"/>
        </w:rPr>
        <w:t xml:space="preserve">Each identified risk or opportunity is recorded in the Risk &amp; Opportunity Register and assigned a category (e.g. operational, financial, compliance, strategic, environmental). Risks are assessed for likelihood and impact to determine an overall risk level. Opportunities are assessed for their potential benefit and how readily they can be exploited.</w:t>
      </w:r>
    </w:p>
    <w:p>
      <w:pPr>
        <w:spacing w:after="70" w:before="160"/>
      </w:pPr>
      <w:r>
        <w:rPr>
          <w:rFonts w:ascii="Calibri" w:cs="Calibri" w:eastAsia="Calibri" w:hAnsi="Calibri"/>
          <w:b/>
          <w:bCs/>
          <w:color w:val="06233D"/>
          <w:sz w:val="22"/>
          <w:szCs w:val="22"/>
        </w:rPr>
        <w:t xml:space="preserve">Planning Actions</w:t>
      </w:r>
    </w:p>
    <w:p>
      <w:pPr>
        <w:spacing w:after="120" w:line="264"/>
      </w:pPr>
      <w:r>
        <w:rPr>
          <w:rFonts w:ascii="Calibri" w:cs="Calibri" w:eastAsia="Calibri" w:hAnsi="Calibri"/>
          <w:color w:val="1A1A1A"/>
          <w:sz w:val="21"/>
          <w:szCs w:val="21"/>
        </w:rPr>
        <w:t xml:space="preserve">For risks, actions may reduce the likelihood or impact, eliminate the risk, share it (e.g. insurance), or accept it for low-level risks. For opportunities, actions may realise or increase the opportunity, collaborate with others, or decide not to pursue it. Each action records what is to be done, who is accountable, when it is due, the resources needed and how progress is tracked.</w:t>
      </w:r>
    </w:p>
    <w:p>
      <w:pPr>
        <w:spacing w:after="70" w:before="160"/>
      </w:pPr>
      <w:r>
        <w:rPr>
          <w:rFonts w:ascii="Calibri" w:cs="Calibri" w:eastAsia="Calibri" w:hAnsi="Calibri"/>
          <w:b/>
          <w:bCs/>
          <w:color w:val="06233D"/>
          <w:sz w:val="22"/>
          <w:szCs w:val="22"/>
        </w:rPr>
        <w:t xml:space="preserve">Implementation</w:t>
      </w:r>
    </w:p>
    <w:p>
      <w:pPr>
        <w:spacing w:after="120" w:line="264"/>
      </w:pPr>
      <w:r>
        <w:rPr>
          <w:rFonts w:ascii="Calibri" w:cs="Calibri" w:eastAsia="Calibri" w:hAnsi="Calibri"/>
          <w:color w:val="1A1A1A"/>
          <w:sz w:val="21"/>
          <w:szCs w:val="21"/>
        </w:rPr>
        <w:t xml:space="preserve">Actions are integrated into the relevant management system processes - operational procedures, work instructions, training or project plans - and executed by responsible individuals or departments according to the defined timelines, with the necessary resources allocated.</w:t>
      </w:r>
    </w:p>
    <w:p>
      <w:pPr>
        <w:spacing w:after="70" w:before="160"/>
      </w:pPr>
      <w:r>
        <w:rPr>
          <w:rFonts w:ascii="Calibri" w:cs="Calibri" w:eastAsia="Calibri" w:hAnsi="Calibri"/>
          <w:b/>
          <w:bCs/>
          <w:color w:val="06233D"/>
          <w:sz w:val="22"/>
          <w:szCs w:val="22"/>
        </w:rPr>
        <w:t xml:space="preserve">Monitoring and Review</w:t>
      </w:r>
    </w:p>
    <w:p>
      <w:pPr>
        <w:spacing w:after="120" w:line="264"/>
      </w:pPr>
      <w:r>
        <w:rPr>
          <w:rFonts w:ascii="Calibri" w:cs="Calibri" w:eastAsia="Calibri" w:hAnsi="Calibri"/>
          <w:color w:val="1A1A1A"/>
          <w:sz w:val="21"/>
          <w:szCs w:val="21"/>
        </w:rPr>
        <w:t xml:space="preserve">Responsible individuals monitor progress and update the register. The status of significant risks and opportunities, and the effectiveness of actions, are standing items for Management Reviews, and internal audits verify implementation and effectiveness.</w:t>
      </w:r>
    </w:p>
    <w:p>
      <w:pPr>
        <w:spacing w:after="70" w:before="160"/>
      </w:pPr>
      <w:r>
        <w:rPr>
          <w:rFonts w:ascii="Calibri" w:cs="Calibri" w:eastAsia="Calibri" w:hAnsi="Calibri"/>
          <w:b/>
          <w:bCs/>
          <w:color w:val="06233D"/>
          <w:sz w:val="22"/>
          <w:szCs w:val="22"/>
        </w:rPr>
        <w:t xml:space="preserve">Evaluation of Effectiveness</w:t>
      </w:r>
    </w:p>
    <w:p>
      <w:pPr>
        <w:spacing w:after="120" w:line="264"/>
      </w:pPr>
      <w:r>
        <w:rPr>
          <w:rFonts w:ascii="Calibri" w:cs="Calibri" w:eastAsia="Calibri" w:hAnsi="Calibri"/>
          <w:color w:val="1A1A1A"/>
          <w:sz w:val="21"/>
          <w:szCs w:val="21"/>
        </w:rPr>
        <w:t xml:space="preserve">Once an action is completed, its effectiveness is evaluated against predefined criteria using evidence such as reduced non-conformities, improved performance or positive customer feedback. Results are documented in the register, and further actions are planned if an action is found to be ineffective.</w:t>
      </w:r>
    </w:p>
    <w:p>
      <w:pPr>
        <w:spacing w:after="70" w:before="160"/>
      </w:pPr>
      <w:r>
        <w:rPr>
          <w:rFonts w:ascii="Calibri" w:cs="Calibri" w:eastAsia="Calibri" w:hAnsi="Calibri"/>
          <w:b/>
          <w:bCs/>
          <w:color w:val="06233D"/>
          <w:sz w:val="22"/>
          <w:szCs w:val="22"/>
        </w:rPr>
        <w:t xml:space="preserve">Continual Improvement</w:t>
      </w:r>
    </w:p>
    <w:p>
      <w:pPr>
        <w:spacing w:after="120" w:line="264"/>
      </w:pPr>
      <w:r>
        <w:rPr>
          <w:rFonts w:ascii="Calibri" w:cs="Calibri" w:eastAsia="Calibri" w:hAnsi="Calibri"/>
          <w:color w:val="1A1A1A"/>
          <w:sz w:val="21"/>
          <w:szCs w:val="21"/>
        </w:rPr>
        <w:t xml:space="preserve">The process is continually improved using feedback from effectiveness reviews, internal audits and management reviews, and lessons learned from both successes and failures are incorporated into future planning.</w:t>
      </w:r>
    </w:p>
    <w:p>
      <w:pPr>
        <w:spacing w:after="100" w:before="240"/>
      </w:pPr>
      <w:r>
        <w:rPr>
          <w:rFonts w:ascii="Calibri" w:cs="Calibri" w:eastAsia="Calibri" w:hAnsi="Calibri"/>
          <w:b/>
          <w:bCs/>
          <w:color w:val="06233D"/>
          <w:sz w:val="24"/>
          <w:szCs w:val="24"/>
        </w:rPr>
        <w:t xml:space="preserve">Documented Information (Records)</w:t>
      </w:r>
    </w:p>
    <w:p>
      <w:pPr>
        <w:pStyle w:val="ListParagraph"/>
        <w:numPr>
          <w:ilvl w:val="0"/>
          <w:numId w:val="2"/>
        </w:numPr>
        <w:spacing w:after="70" w:line="264"/>
      </w:pPr>
      <w:r>
        <w:rPr>
          <w:rFonts w:ascii="Calibri" w:cs="Calibri" w:eastAsia="Calibri" w:hAnsi="Calibri"/>
          <w:color w:val="1A1A1A"/>
          <w:sz w:val="21"/>
          <w:szCs w:val="21"/>
        </w:rPr>
        <w:t xml:space="preserve">Risk &amp; Opportunity Register - the central record of identified risks and opportunities, assessments, planned actions, responsibilities, timelines and evaluation results.</w:t>
      </w:r>
    </w:p>
    <w:p>
      <w:pPr>
        <w:pStyle w:val="ListParagraph"/>
        <w:numPr>
          <w:ilvl w:val="0"/>
          <w:numId w:val="2"/>
        </w:numPr>
        <w:spacing w:after="70" w:line="264"/>
      </w:pPr>
      <w:r>
        <w:rPr>
          <w:rFonts w:ascii="Calibri" w:cs="Calibri" w:eastAsia="Calibri" w:hAnsi="Calibri"/>
          <w:color w:val="1A1A1A"/>
          <w:sz w:val="21"/>
          <w:szCs w:val="21"/>
        </w:rPr>
        <w:t xml:space="preserve">Management review and relevant meeting minutes.</w:t>
      </w:r>
    </w:p>
    <w:p>
      <w:pPr>
        <w:pStyle w:val="ListParagraph"/>
        <w:numPr>
          <w:ilvl w:val="0"/>
          <w:numId w:val="2"/>
        </w:numPr>
        <w:spacing w:after="70" w:line="264"/>
      </w:pPr>
      <w:r>
        <w:rPr>
          <w:rFonts w:ascii="Calibri" w:cs="Calibri" w:eastAsia="Calibri" w:hAnsi="Calibri"/>
          <w:color w:val="1A1A1A"/>
          <w:sz w:val="21"/>
          <w:szCs w:val="21"/>
        </w:rPr>
        <w:t xml:space="preserve">Internal audit reports.</w:t>
      </w:r>
    </w:p>
    <w:p>
      <w:pPr>
        <w:pStyle w:val="ListParagraph"/>
        <w:numPr>
          <w:ilvl w:val="0"/>
          <w:numId w:val="2"/>
        </w:numPr>
        <w:spacing w:after="70" w:line="264"/>
      </w:pPr>
      <w:r>
        <w:rPr>
          <w:rFonts w:ascii="Calibri" w:cs="Calibri" w:eastAsia="Calibri" w:hAnsi="Calibri"/>
          <w:color w:val="1A1A1A"/>
          <w:sz w:val="21"/>
          <w:szCs w:val="21"/>
        </w:rPr>
        <w:t xml:space="preserve">Customer feedback and supplier evaluation records.</w:t>
      </w:r>
    </w:p>
    <w:p>
      <w:pPr>
        <w:pBdr>
          <w:top w:val="single" w:color="CAE8FF" w:sz="12"/>
        </w:pBdr>
        <w:spacing w:after="120" w:before="280"/>
      </w:pPr>
    </w:p>
    <w:p>
      <w:pPr>
        <w:spacing w:after="120" w:line="264"/>
      </w:pPr>
      <w:r>
        <w:rPr>
          <w:rFonts w:ascii="Calibri" w:cs="Calibri" w:eastAsia="Calibri" w:hAnsi="Calibri"/>
          <w:color w:val="1A1A1A"/>
          <w:sz w:val="21"/>
          <w:szCs w:val="21"/>
        </w:rPr>
        <w:t xml:space="preserve">Signed: ......................................................    Date: ........................</w:t>
      </w:r>
    </w:p>
    <w:p>
      <w:pPr>
        <w:spacing w:before="60"/>
      </w:pPr>
      <w:r>
        <w:rPr>
          <w:rFonts w:ascii="Calibri" w:cs="Calibri" w:eastAsia="Calibri" w:hAnsi="Calibri"/>
          <w:color w:val="1A1A1A"/>
          <w:sz w:val="21"/>
          <w:szCs w:val="21"/>
        </w:rPr>
        <w:t xml:space="preserve">Name: </w:t>
      </w:r>
      <w:r>
        <w:rPr>
          <w:rFonts w:ascii="Calibri" w:cs="Calibri" w:eastAsia="Calibri" w:hAnsi="Calibri"/>
          <w:b/>
          <w:bCs/>
          <w:color w:val="C00000"/>
          <w:sz w:val="21"/>
          <w:szCs w:val="21"/>
        </w:rPr>
        <w:t xml:space="preserve">[NAME]</w:t>
      </w:r>
    </w:p>
    <w:p>
      <w:pPr>
        <w:spacing w:before="20"/>
      </w:pPr>
      <w:r>
        <w:rPr>
          <w:rFonts w:ascii="Calibri" w:cs="Calibri" w:eastAsia="Calibri" w:hAnsi="Calibri"/>
          <w:color w:val="1A1A1A"/>
          <w:sz w:val="21"/>
          <w:szCs w:val="21"/>
        </w:rPr>
        <w:t xml:space="preserve">Position: </w:t>
      </w:r>
      <w:r>
        <w:rPr>
          <w:rFonts w:ascii="Calibri" w:cs="Calibri" w:eastAsia="Calibri" w:hAnsi="Calibri"/>
          <w:b/>
          <w:bCs/>
          <w:color w:val="C00000"/>
          <w:sz w:val="21"/>
          <w:szCs w:val="21"/>
        </w:rPr>
        <w:t xml:space="preserve">[POSITION - e.g. Managing Director]</w:t>
      </w:r>
    </w:p>
    <w:sectPr>
      <w:footerReference w:type="default" r:id="rId7"/>
      <w:pgSz w:w="11906" w:h="16838" w:orient="portrait"/>
      <w:pgMar w:top="72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6233D" w:sz="12"/>
      </w:pBdr>
      <w:tabs>
        <w:tab w:val="right" w:pos="9300"/>
      </w:tabs>
      <w:spacing w:before="60"/>
    </w:pPr>
    <w:r>
      <w:rPr>
        <w:rFonts w:ascii="Calibri" w:cs="Calibri" w:eastAsia="Calibri" w:hAnsi="Calibri"/>
        <w:color w:val="595959"/>
        <w:sz w:val="15"/>
        <w:szCs w:val="15"/>
      </w:rPr>
      <w:t xml:space="preserve">[DOC REF]  |  Template provided by AcreditSafe</w:t>
    </w:r>
    <w:r>
      <w:rPr>
        <w:rFonts w:ascii="Calibri" w:cs="Calibri" w:eastAsia="Calibri" w:hAnsi="Calibri"/>
        <w:color w:val="595959"/>
        <w:sz w:val="15"/>
        <w:szCs w:val="15"/>
      </w:rPr>
      <w:t xml:space="preserve">	Page </w:t>
    </w:r>
    <w:r>
      <w:rPr>
        <w:rFonts w:ascii="Calibri" w:cs="Calibri" w:eastAsia="Calibri" w:hAnsi="Calibri"/>
        <w:color w:val="59595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4D6A9D30D44A4BA94EE6F699F147E8" ma:contentTypeVersion="10" ma:contentTypeDescription="Create a new document." ma:contentTypeScope="" ma:versionID="fdab9e5b70012bd4ed6c556c60163f46">
  <xsd:schema xmlns:xsd="http://www.w3.org/2001/XMLSchema" xmlns:xs="http://www.w3.org/2001/XMLSchema" xmlns:p="http://schemas.microsoft.com/office/2006/metadata/properties" xmlns:ns2="f4372792-5176-4f29-a7b6-03fa4f6e148b" xmlns:ns3="515ffecd-67ea-4dab-9ab1-82185fb518c1" targetNamespace="http://schemas.microsoft.com/office/2006/metadata/properties" ma:root="true" ma:fieldsID="bb70e8ec4c365e782c2a36ffe9051f8d" ns2:_="" ns3:_="">
    <xsd:import namespace="f4372792-5176-4f29-a7b6-03fa4f6e148b"/>
    <xsd:import namespace="515ffecd-67ea-4dab-9ab1-82185fb518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72792-5176-4f29-a7b6-03fa4f6e1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729bbd-e4ce-4026-8d84-fa5e949ad3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5ffecd-67ea-4dab-9ab1-82185fb518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3a1c65-65e6-451f-908b-15cb3529ff0e}" ma:internalName="TaxCatchAll" ma:showField="CatchAllData" ma:web="515ffecd-67ea-4dab-9ab1-82185fb5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5ffecd-67ea-4dab-9ab1-82185fb518c1" xsi:nil="true"/>
    <lcf76f155ced4ddcb4097134ff3c332f xmlns="f4372792-5176-4f29-a7b6-03fa4f6e1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1835BB-CE7B-4FE8-9C36-6D36C1AEAC84}"/>
</file>

<file path=customXml/itemProps2.xml><?xml version="1.0" encoding="utf-8"?>
<ds:datastoreItem xmlns:ds="http://schemas.openxmlformats.org/officeDocument/2006/customXml" ds:itemID="{0BD474AD-0A0B-4E2D-9057-B1DC215135BE}"/>
</file>

<file path=customXml/itemProps3.xml><?xml version="1.0" encoding="utf-8"?>
<ds:datastoreItem xmlns:ds="http://schemas.openxmlformats.org/officeDocument/2006/customXml" ds:itemID="{D3D9A41D-C2F9-4102-B2F1-6808BC21179F}"/>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2026-08-23T14:49:20Z</dcterms:created>
  <dcterms:modified xsi:type="dcterms:W3CDTF">2026-08-23T14:49:20Z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0x010100EB4D6A9D30D44A4BA94EE6F699F147E8</vt:lpwstr>
  </property>
</Properties>
</file>