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1700"/>
        <w:gridCol w:w="4300"/>
        <w:gridCol w:w="3300"/>
      </w:tblGrid>
      <w:tr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[LOGO]</w:t>
            </w:r>
          </w:p>
        </w:tc>
        <w:tc>
          <w:tcPr>
            <w:tcW w:type="dxa" w:w="430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30"/>
                <w:szCs w:val="30"/>
              </w:rPr>
              <w:t xml:space="preserve">Monitoring, Audits &amp; Inspections Procedure</w:t>
            </w:r>
          </w:p>
        </w:tc>
        <w:tc>
          <w:tcPr>
            <w:tcW w:type="dxa" w:w="330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tbl>
            <w:tblPr>
              <w:tblW w:type="dxa" w:w="3300"/>
              <w:tblBorders>
                <w:top w:val="single" w:color="CAE8FF" w:sz="6"/>
                <w:left w:val="single" w:color="CAE8FF" w:sz="6"/>
                <w:bottom w:val="single" w:color="CAE8FF" w:sz="6"/>
                <w:right w:val="single" w:color="CAE8FF" w:sz="6"/>
                <w:insideH w:val="single" w:color="CAE8FF" w:sz="6"/>
                <w:insideV w:val="single" w:color="CAE8FF" w:sz="6"/>
              </w:tblBorders>
            </w:tblPr>
            <w:tblGrid>
              <w:gridCol w:w="1400"/>
              <w:gridCol w:w="1900"/>
            </w:tblGrid>
            <w:tr>
              <w:tc>
                <w:tcPr>
                  <w:tcW w:type="dxa" w:w="14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Reference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[DOC REF]</w:t>
                  </w:r>
                </w:p>
              </w:tc>
            </w:tr>
            <w:tr>
              <w:tc>
                <w:tcPr>
                  <w:tcW w:type="dxa" w:w="14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Revision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[REV]</w:t>
                  </w:r>
                </w:p>
              </w:tc>
            </w:tr>
            <w:tr>
              <w:tc>
                <w:tcPr>
                  <w:tcW w:type="dxa" w:w="14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[DATE]</w:t>
                  </w:r>
                </w:p>
              </w:tc>
            </w:tr>
          </w:tbl>
          <w:p/>
        </w:tc>
      </w:tr>
    </w:tbl>
    <w:p>
      <w:pPr>
        <w:pBdr>
          <w:bottom w:val="single" w:color="06233D" w:sz="30"/>
        </w:pBdr>
        <w:spacing w:after="160" w:before="60"/>
      </w:pP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Introduction</w:t>
      </w:r>
    </w:p>
    <w:p>
      <w:pPr>
        <w:spacing w:after="12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is committed to providing a safe and healthy working environment for all employees, subcontractors and visitors. This procedure outlines the systematic approach we take to identify and address potential hazards before incidents occur, ensuring a proactive safety culture through regular inspections, audits and safety tours.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Scope</w:t>
      </w: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This procedure defines the strategy for monitoring health and safety compliance across all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projects and office environments. It applies to all direct employees, site management and administrative staff, and extends to all subcontractors and third-party visitors who must adhere to these monitoring standards while engaged on our work.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Compliance</w:t>
      </w: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All monitoring and inspection activities are aligned with current UK legislation and best practice, including: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Health and Safety at Work etc. Act 1974.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Management of Health and Safety at Work Regulations 1999.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Construction (Design and Management) Regulations 2015 (CDM), where applicable.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Building Safety Act 2022, where applicable.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COSHH Regulations 2002 and Workplace (Health, Safety and Welfare) Regulations 1992.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Senior management demonstrates leadership by conducting regular safety tours and overseeing the monitoring programme.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Supervisors and site managers carry out regular on-site inspections, completing the required forms and filing them centrally.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Health and safety advisers provide technical support through site visits and the delivery of audits.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All staff are responsible for reporting any H&amp;S concerns to their supervisor as soon as they are identified.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Subcontractors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extends its monitoring process to all subcontractors working on our sites.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Subcontractors must provide their own H&amp;S documentation for review during inspections.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Monitoring Methods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Regular site inspections by supervisors/site managers to record observations, capture site photos and document corrective actions in a non-conformance log.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Management safety tours to observe site practices first-hand and engage with the workforce.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Adviser visits to provide expertise and independent oversight.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Client joint inspections, encouraged, with any resulting reports forwarded for review and action.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Periodic audits of administrative controls to verify system effectiveness, legislative compliance and documentation.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Frequency Adjustments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The management team may adjust the minimum inspection frequency based on project location, team size and the risk levels of the activity.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New staff or procedures may trigger more frequent monitoring.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Early interventions are encouraged, where minor issues identified and corrected during inspections are documented as positive safety contributions.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Review and Reporting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Management analyses inspection and audit data to identify trends.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Project teams discuss key findings and safety trends during regular progress meetings.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Relevant documentation is collated to support a thorough audit trail.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Staff are encouraged to raise any H&amp;S concerns with their supervisor.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Subcontractors, where applicable, are included in the H&amp;S monitoring process.</w:t>
      </w:r>
    </w:p>
    <w:p>
      <w:pPr>
        <w:pBdr>
          <w:top w:val="single" w:color="CAE8FF" w:sz="12"/>
        </w:pBdr>
        <w:spacing w:after="120" w:before="280"/>
      </w:pP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Signed: ......................................................    Date: ........................</w:t>
      </w:r>
    </w:p>
    <w:p>
      <w:pPr>
        <w:spacing w:before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Name: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[NAME]</w:t>
      </w:r>
    </w:p>
    <w:p>
      <w:pPr>
        <w:spacing w:before="2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Position: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[POSITION - e.g. Managing Director]</w:t>
      </w:r>
    </w:p>
    <w:sectPr>
      <w:footerReference w:type="default" r:id="rId7"/>
      <w:pgSz w:w="11906" w:h="16838" w:orient="portrait"/>
      <w:pgMar w:top="72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233D" w:sz="12"/>
      </w:pBdr>
      <w:tabs>
        <w:tab w:val="right" w:pos="930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[DOC REF]  |  Template provided by AcreditSafe</w:t>
    </w:r>
    <w:r>
      <w:rPr>
        <w:rFonts w:ascii="Calibri" w:cs="Calibri" w:eastAsia="Calibri" w:hAnsi="Calibri"/>
        <w:color w:val="595959"/>
        <w:sz w:val="15"/>
        <w:szCs w:val="15"/>
      </w:rPr>
      <w:t xml:space="preserve">	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D6A9D30D44A4BA94EE6F699F147E8" ma:contentTypeVersion="10" ma:contentTypeDescription="Create a new document." ma:contentTypeScope="" ma:versionID="fdab9e5b70012bd4ed6c556c60163f46">
  <xsd:schema xmlns:xsd="http://www.w3.org/2001/XMLSchema" xmlns:xs="http://www.w3.org/2001/XMLSchema" xmlns:p="http://schemas.microsoft.com/office/2006/metadata/properties" xmlns:ns2="f4372792-5176-4f29-a7b6-03fa4f6e148b" xmlns:ns3="515ffecd-67ea-4dab-9ab1-82185fb518c1" targetNamespace="http://schemas.microsoft.com/office/2006/metadata/properties" ma:root="true" ma:fieldsID="bb70e8ec4c365e782c2a36ffe9051f8d" ns2:_="" ns3:_="">
    <xsd:import namespace="f4372792-5176-4f29-a7b6-03fa4f6e148b"/>
    <xsd:import namespace="515ffecd-67ea-4dab-9ab1-82185fb5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2792-5176-4f29-a7b6-03fa4f6e1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29bbd-e4ce-4026-8d84-fa5e949ad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fecd-67ea-4dab-9ab1-82185fb518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3a1c65-65e6-451f-908b-15cb3529ff0e}" ma:internalName="TaxCatchAll" ma:showField="CatchAllData" ma:web="515ffecd-67ea-4dab-9ab1-82185fb5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5ffecd-67ea-4dab-9ab1-82185fb518c1" xsi:nil="true"/>
    <lcf76f155ced4ddcb4097134ff3c332f xmlns="f4372792-5176-4f29-a7b6-03fa4f6e1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556AAA-CDF4-42B9-B06C-8693B98084AC}"/>
</file>

<file path=customXml/itemProps2.xml><?xml version="1.0" encoding="utf-8"?>
<ds:datastoreItem xmlns:ds="http://schemas.openxmlformats.org/officeDocument/2006/customXml" ds:itemID="{59964A69-9408-430A-AAC6-2772E93BAD84}"/>
</file>

<file path=customXml/itemProps3.xml><?xml version="1.0" encoding="utf-8"?>
<ds:datastoreItem xmlns:ds="http://schemas.openxmlformats.org/officeDocument/2006/customXml" ds:itemID="{97542E5F-6D8E-4136-95B0-5EE74849AFF5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2026-08-25T17:18:32Z</dcterms:created>
  <dcterms:modified xsi:type="dcterms:W3CDTF">2026-08-25T17:18:32Z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0x010100EB4D6A9D30D44A4BA94EE6F699F147E8</vt:lpwstr>
  </property>
</Properties>
</file>