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5200"/>
        <w:tblBorders>
          <w:top w:val="single" w:color="06233D" w:sz="6"/>
          <w:left w:val="single" w:color="06233D" w:sz="6"/>
          <w:bottom w:val="single" w:color="06233D" w:sz="6"/>
          <w:right w:val="single" w:color="06233D" w:sz="6"/>
          <w:insideH w:val="single" w:color="06233D" w:sz="6"/>
          <w:insideV w:val="single" w:color="06233D" w:sz="6"/>
        </w:tblBorders>
      </w:tblPr>
      <w:tblGrid>
        <w:gridCol w:w="2200"/>
        <w:gridCol w:w="9000"/>
        <w:gridCol w:w="4000"/>
      </w:tblGrid>
      <w:tr>
        <w:tc>
          <w:tcPr>
            <w:tcW w:type="dxa" w:w="2200"/>
            <w:tcMar>
              <w:top w:type="dxa" w:w="40"/>
              <w:left w:type="dxa" w:w="60"/>
              <w:bottom w:type="dxa" w:w="40"/>
              <w:right w:type="dxa" w:w="60"/>
            </w:tcMar>
            <w:vAlign w:val="center"/>
          </w:tcPr>
          <w:p>
            <w:pPr>
              <w:jc w:val="center"/>
            </w:pPr>
            <w:r>
              <w:rPr>
                <w:rFonts w:ascii="Calibri" w:cs="Calibri" w:eastAsia="Calibri" w:hAnsi="Calibri"/>
                <w:b/>
                <w:bCs/>
                <w:color w:val="C00000"/>
                <w:sz w:val="20"/>
                <w:szCs w:val="20"/>
              </w:rPr>
              <w:t xml:space="preserve">[LOGO]</w:t>
            </w:r>
          </w:p>
        </w:tc>
        <w:tc>
          <w:tcPr>
            <w:tcW w:type="dxa" w:w="9000"/>
            <w:tcMar>
              <w:top w:type="dxa" w:w="40"/>
              <w:left w:type="dxa" w:w="60"/>
              <w:bottom w:type="dxa" w:w="40"/>
              <w:right w:type="dxa" w:w="60"/>
            </w:tcMar>
            <w:vAlign w:val="center"/>
          </w:tcPr>
          <w:p>
            <w:r>
              <w:rPr>
                <w:rFonts w:ascii="Calibri" w:cs="Calibri" w:eastAsia="Calibri" w:hAnsi="Calibri"/>
                <w:b/>
                <w:bCs/>
                <w:color w:val="06233D"/>
                <w:sz w:val="30"/>
                <w:szCs w:val="30"/>
              </w:rPr>
              <w:t xml:space="preserve">Risk Assessment</w:t>
            </w:r>
          </w:p>
        </w:tc>
        <w:tc>
          <w:tcPr>
            <w:tcW w:type="dxa" w:w="4000"/>
            <w:shd w:fill="F4F6FC" w:color="auto" w:val="clear"/>
            <w:tcMar>
              <w:top w:type="dxa" w:w="40"/>
              <w:left w:type="dxa" w:w="60"/>
              <w:bottom w:type="dxa" w:w="40"/>
              <w:right w:type="dxa" w:w="60"/>
            </w:tcMar>
            <w:vAlign w:val="center"/>
          </w:tcPr>
          <w:p>
            <w:r>
              <w:rPr>
                <w:rFonts w:ascii="Calibri" w:cs="Calibri" w:eastAsia="Calibri" w:hAnsi="Calibri"/>
                <w:b/>
                <w:bCs/>
                <w:color w:val="C00000"/>
                <w:sz w:val="18"/>
                <w:szCs w:val="18"/>
              </w:rPr>
              <w:t xml:space="preserve">[DOC REF]</w:t>
            </w:r>
          </w:p>
          <w:p>
            <w:r>
              <w:rPr>
                <w:rFonts w:ascii="Calibri" w:cs="Calibri" w:eastAsia="Calibri" w:hAnsi="Calibri"/>
                <w:b/>
                <w:bCs/>
                <w:color w:val="06233D"/>
                <w:sz w:val="18"/>
                <w:szCs w:val="18"/>
              </w:rPr>
              <w:t xml:space="preserve">Legionella</w:t>
            </w:r>
          </w:p>
        </w:tc>
      </w:tr>
    </w:tbl>
    <w:p>
      <w:pPr>
        <w:spacing w:after="60"/>
      </w:pP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2400"/>
        <w:gridCol w:w="5200"/>
        <w:gridCol w:w="2400"/>
        <w:gridCol w:w="5200"/>
      </w:tblGrid>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Company</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[COMPANY NAME]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Ref.</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[DOC REF]</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Title</w:t>
            </w:r>
          </w:p>
        </w:tc>
        <w:tc>
          <w:tcPr>
            <w:tcW w:type="dxa" w:w="5200"/>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Legionella</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Revision</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[REV]</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Assessed By</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[ASSESSOR NAME / ROLE]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Date</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[DATE]</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Location / Scope</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[LOCATION / SCOPE]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Review Date</w:t>
            </w:r>
          </w:p>
        </w:tc>
        <w:tc>
          <w:tcPr>
            <w:tcW w:type="dxa" w:w="5200"/>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Within 12 months or on significant change</w:t>
            </w:r>
          </w:p>
        </w:tc>
      </w:tr>
    </w:tbl>
    <w:p>
      <w:pPr>
        <w:spacing w:after="120"/>
      </w:pPr>
    </w:p>
    <w:p>
      <w:pPr>
        <w:spacing w:after="60" w:before="60"/>
      </w:pPr>
      <w:r>
        <w:rPr>
          <w:rFonts w:ascii="Calibri" w:cs="Calibri" w:eastAsia="Calibri" w:hAnsi="Calibri"/>
          <w:b/>
          <w:bCs/>
          <w:color w:val="06233D"/>
          <w:sz w:val="18"/>
          <w:szCs w:val="18"/>
        </w:rPr>
        <w:t xml:space="preserve">Risk Rating Methodology (5 × 5): Risk = Likelihood × Severity</w:t>
      </w:r>
    </w:p>
    <w:tbl>
      <w:tblPr>
        <w:tblW w:type="dxa" w:w="15200"/>
        <w:tblBorders>
          <w:top w:val="single" w:color="FFFFFF" w:sz="4"/>
          <w:left w:val="single" w:color="FFFFFF" w:sz="4"/>
          <w:bottom w:val="single" w:color="FFFFFF" w:sz="4"/>
          <w:right w:val="single" w:color="FFFFFF" w:sz="4"/>
          <w:insideH w:val="single" w:color="FFFFFF" w:sz="4"/>
          <w:insideV w:val="single" w:color="FFFFFF" w:sz="4"/>
        </w:tblBorders>
      </w:tblPr>
      <w:tblGrid>
        <w:gridCol w:w="9200"/>
        <w:gridCol w:w="6000"/>
      </w:tblGrid>
      <w:tr>
        <w:tc>
          <w:tcPr>
            <w:tcMar>
              <w:top w:type="dxa" w:w="40"/>
              <w:left w:type="dxa" w:w="60"/>
              <w:bottom w:type="dxa" w:w="40"/>
              <w:right w:type="dxa" w:w="60"/>
            </w:tcMar>
            <w:vAlign w:val="top"/>
          </w:tcPr>
          <w:tbl>
            <w:tblPr>
              <w:tblW w:type="dxa" w:w="9000"/>
              <w:tblBorders>
                <w:top w:val="single" w:color="888888" w:sz="4"/>
                <w:left w:val="single" w:color="888888" w:sz="4"/>
                <w:bottom w:val="single" w:color="888888" w:sz="4"/>
                <w:right w:val="single" w:color="888888" w:sz="4"/>
                <w:insideH w:val="single" w:color="888888" w:sz="4"/>
                <w:insideV w:val="single" w:color="888888" w:sz="4"/>
              </w:tblBorders>
            </w:tblPr>
            <w:tblGrid>
              <w:gridCol w:w="2000"/>
              <w:gridCol w:w="1400"/>
              <w:gridCol w:w="1400"/>
              <w:gridCol w:w="1400"/>
              <w:gridCol w:w="1400"/>
              <w:gridCol w:w="1400"/>
            </w:tblGrid>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4"/>
                      <w:szCs w:val="14"/>
                    </w:rPr>
                    <w:t xml:space="preserve">L ↓ / S →</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1</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2</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3</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4</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5</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15</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20</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4</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16</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20</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3</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9</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1</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r>
          </w:tbl>
          <w:p/>
        </w:tc>
        <w:tc>
          <w:tcPr>
            <w:tcMar>
              <w:top w:type="dxa" w:w="40"/>
              <w:left w:type="dxa" w:w="60"/>
              <w:bottom w:type="dxa" w:w="40"/>
              <w:right w:type="dxa" w:w="60"/>
            </w:tcMar>
            <w:vAlign w:val="top"/>
          </w:tcPr>
          <w:tbl>
            <w:tblPr>
              <w:tblW w:type="dxa" w:w="6200"/>
              <w:tblBorders>
                <w:top w:val="single" w:color="888888" w:sz="4"/>
                <w:left w:val="single" w:color="888888" w:sz="4"/>
                <w:bottom w:val="single" w:color="888888" w:sz="4"/>
                <w:right w:val="single" w:color="888888" w:sz="4"/>
                <w:insideH w:val="single" w:color="888888" w:sz="4"/>
                <w:insideV w:val="single" w:color="888888" w:sz="4"/>
              </w:tblBorders>
            </w:tblPr>
            <w:tblGrid>
              <w:gridCol w:w="1600"/>
              <w:gridCol w:w="4600"/>
            </w:tblGrid>
            <w:tr>
              <w:tc>
                <w:tcPr>
                  <w:tcW w:type="dxa" w:w="1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Low (1-4)</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Acceptable - maintain existing controls and monitor.</w:t>
                  </w:r>
                </w:p>
              </w:tc>
            </w:tr>
            <w:tr>
              <w:tc>
                <w:tcPr>
                  <w:tcW w:type="dxa" w:w="1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Medium (5-9)</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Tolerable - reduce so far as is reasonably practicable.</w:t>
                  </w:r>
                </w:p>
              </w:tc>
            </w:tr>
            <w:tr>
              <w:tc>
                <w:tcPr>
                  <w:tcW w:type="dxa" w:w="1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High (10-15)</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Substantial - additional controls required before proceeding.</w:t>
                  </w:r>
                </w:p>
              </w:tc>
            </w:tr>
            <w:tr>
              <w:tc>
                <w:tcPr>
                  <w:tcW w:type="dxa" w:w="16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Very High (16-25)</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Intolerable - stop activity; immediate action required.</w:t>
                  </w:r>
                </w:p>
              </w:tc>
            </w:tr>
          </w:tbl>
          <w:p/>
        </w:tc>
      </w:tr>
    </w:tbl>
    <w:p>
      <w:pPr>
        <w:spacing w:after="140"/>
      </w:pPr>
    </w:p>
    <w:p>
      <w:pPr>
        <w:spacing w:after="60" w:before="60"/>
      </w:pPr>
      <w:r>
        <w:rPr>
          <w:rFonts w:ascii="Calibri" w:cs="Calibri" w:eastAsia="Calibri" w:hAnsi="Calibri"/>
          <w:b/>
          <w:bCs/>
          <w:color w:val="06233D"/>
          <w:sz w:val="20"/>
          <w:szCs w:val="20"/>
        </w:rPr>
        <w:t xml:space="preserve">Legionella Risk Assessment</w:t>
      </w:r>
    </w:p>
    <w:p>
      <w:pPr>
        <w:spacing w:after="40"/>
      </w:pPr>
      <w:r>
        <w:rPr>
          <w:rFonts w:ascii="Calibri" w:cs="Calibri" w:eastAsia="Calibri" w:hAnsi="Calibri"/>
          <w:i/>
          <w:iCs/>
          <w:color w:val="595959"/>
          <w:sz w:val="14"/>
          <w:szCs w:val="14"/>
        </w:rPr>
        <w:t xml:space="preserve">Initial Risk = risk before / with baseline controls.  Residual Risk = risk once all listed controls are in place.</w:t>
      </w: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700"/>
        <w:gridCol w:w="2600"/>
        <w:gridCol w:w="3000"/>
        <w:gridCol w:w="500"/>
        <w:gridCol w:w="500"/>
        <w:gridCol w:w="600"/>
        <w:gridCol w:w="4200"/>
        <w:gridCol w:w="500"/>
        <w:gridCol w:w="500"/>
        <w:gridCol w:w="600"/>
        <w:gridCol w:w="1500"/>
      </w:tblGrid>
      <w:tr>
        <w:trPr>
          <w:tblHeader/>
        </w:trPr>
        <w:tc>
          <w:tcPr>
            <w:tcW w:type="dxa" w:w="7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Ref</w:t>
            </w:r>
          </w:p>
        </w:tc>
        <w:tc>
          <w:tcPr>
            <w:tcW w:type="dxa" w:w="2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Hazard</w:t>
            </w:r>
          </w:p>
        </w:tc>
        <w:tc>
          <w:tcPr>
            <w:tcW w:type="dxa" w:w="30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Who might be harmed &amp; how</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L</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S</w:t>
            </w:r>
          </w:p>
        </w:tc>
        <w:tc>
          <w:tcPr>
            <w:tcW w:type="dxa" w:w="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w:t>
            </w:r>
          </w:p>
        </w:tc>
        <w:tc>
          <w:tcPr>
            <w:tcW w:type="dxa" w:w="42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Control measures</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L</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S</w:t>
            </w:r>
          </w:p>
        </w:tc>
        <w:tc>
          <w:tcPr>
            <w:tcW w:type="dxa" w:w="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w:t>
            </w:r>
          </w:p>
        </w:tc>
        <w:tc>
          <w:tcPr>
            <w:tcW w:type="dxa" w:w="1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Action owner / target</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L1</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Exposure to Legionella bacteria in the water system</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visitors and contractors - Legionnaires’ disease (potentially fatal) or Pontiac fever from inhaling contaminated aerosols; greater risk to older or immunosuppressed persons.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15</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Legionella risk assessment carried out by a competent person to ACOP L8 / HSG274</w:t>
            </w:r>
          </w:p>
          <w:p>
            <w:pPr>
              <w:pStyle w:val="ListParagraph"/>
              <w:numPr>
                <w:ilvl w:val="0"/>
                <w:numId w:val="1"/>
              </w:numPr>
              <w:spacing w:after="20" w:line="240"/>
            </w:pPr>
            <w:r>
              <w:rPr>
                <w:rFonts w:ascii="Calibri" w:cs="Calibri" w:eastAsia="Calibri" w:hAnsi="Calibri"/>
                <w:color w:val="1A1A1A"/>
                <w:sz w:val="15"/>
                <w:szCs w:val="15"/>
              </w:rPr>
              <w:t xml:space="preserve">Written scheme of control in place</w:t>
            </w:r>
          </w:p>
          <w:p>
            <w:pPr>
              <w:pStyle w:val="ListParagraph"/>
              <w:numPr>
                <w:ilvl w:val="0"/>
                <w:numId w:val="1"/>
              </w:numPr>
              <w:spacing w:after="20" w:line="240"/>
            </w:pPr>
            <w:r>
              <w:rPr>
                <w:rFonts w:ascii="Calibri" w:cs="Calibri" w:eastAsia="Calibri" w:hAnsi="Calibri"/>
                <w:color w:val="1A1A1A"/>
                <w:sz w:val="15"/>
                <w:szCs w:val="15"/>
              </w:rPr>
              <w:t xml:space="preserve">Responsible person appointed</w:t>
            </w:r>
          </w:p>
          <w:p>
            <w:pPr>
              <w:pStyle w:val="ListParagraph"/>
              <w:numPr>
                <w:ilvl w:val="0"/>
                <w:numId w:val="1"/>
              </w:numPr>
              <w:spacing w:after="20" w:line="240"/>
            </w:pPr>
            <w:r>
              <w:rPr>
                <w:rFonts w:ascii="Calibri" w:cs="Calibri" w:eastAsia="Calibri" w:hAnsi="Calibri"/>
                <w:color w:val="1A1A1A"/>
                <w:sz w:val="15"/>
                <w:szCs w:val="15"/>
              </w:rPr>
              <w:t xml:space="preserve">Hot water stored above 60°C and distributed above 50°C; cold water below 20°C</w:t>
            </w:r>
          </w:p>
          <w:p>
            <w:pPr>
              <w:pStyle w:val="ListParagraph"/>
              <w:numPr>
                <w:ilvl w:val="0"/>
                <w:numId w:val="1"/>
              </w:numPr>
              <w:spacing w:after="20" w:line="240"/>
            </w:pPr>
            <w:r>
              <w:rPr>
                <w:rFonts w:ascii="Calibri" w:cs="Calibri" w:eastAsia="Calibri" w:hAnsi="Calibri"/>
                <w:color w:val="1A1A1A"/>
                <w:sz w:val="15"/>
                <w:szCs w:val="15"/>
              </w:rPr>
              <w:t xml:space="preserve">Review the L8 risk assessment on schedule and after any system change</w:t>
            </w:r>
          </w:p>
          <w:p>
            <w:pPr>
              <w:pStyle w:val="ListParagraph"/>
              <w:numPr>
                <w:ilvl w:val="0"/>
                <w:numId w:val="1"/>
              </w:numPr>
              <w:spacing w:after="20" w:line="240"/>
            </w:pPr>
            <w:r>
              <w:rPr>
                <w:rFonts w:ascii="Calibri" w:cs="Calibri" w:eastAsia="Calibri" w:hAnsi="Calibri"/>
                <w:color w:val="1A1A1A"/>
                <w:sz w:val="15"/>
                <w:szCs w:val="15"/>
              </w:rPr>
              <w:t xml:space="preserve">Maintain temperature monitoring records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L2</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Stagnation in infrequently used outlets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and visitors - bacterial proliferation and aerosol exposure from little-used taps and dead legs.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Little-used outlets flushed weekly and recorded</w:t>
            </w:r>
          </w:p>
          <w:p>
            <w:pPr>
              <w:pStyle w:val="ListParagraph"/>
              <w:numPr>
                <w:ilvl w:val="0"/>
                <w:numId w:val="1"/>
              </w:numPr>
              <w:spacing w:after="20" w:line="240"/>
            </w:pPr>
            <w:r>
              <w:rPr>
                <w:rFonts w:ascii="Calibri" w:cs="Calibri" w:eastAsia="Calibri" w:hAnsi="Calibri"/>
                <w:color w:val="1A1A1A"/>
                <w:sz w:val="15"/>
                <w:szCs w:val="15"/>
              </w:rPr>
              <w:t xml:space="preserve">Redundant pipework (dead legs) removed where identified</w:t>
            </w:r>
          </w:p>
          <w:p>
            <w:pPr>
              <w:pStyle w:val="ListParagraph"/>
              <w:numPr>
                <w:ilvl w:val="0"/>
                <w:numId w:val="1"/>
              </w:numPr>
              <w:spacing w:after="20" w:line="240"/>
            </w:pPr>
            <w:r>
              <w:rPr>
                <w:rFonts w:ascii="Calibri" w:cs="Calibri" w:eastAsia="Calibri" w:hAnsi="Calibri"/>
                <w:color w:val="1A1A1A"/>
                <w:sz w:val="15"/>
                <w:szCs w:val="15"/>
              </w:rPr>
              <w:t xml:space="preserve">Maintain the weekly flushing log</w:t>
            </w:r>
          </w:p>
          <w:p>
            <w:pPr>
              <w:pStyle w:val="ListParagraph"/>
              <w:numPr>
                <w:ilvl w:val="0"/>
                <w:numId w:val="1"/>
              </w:numPr>
              <w:spacing w:after="20" w:line="240"/>
            </w:pPr>
            <w:r>
              <w:rPr>
                <w:rFonts w:ascii="Calibri" w:cs="Calibri" w:eastAsia="Calibri" w:hAnsi="Calibri"/>
                <w:color w:val="1A1A1A"/>
                <w:sz w:val="15"/>
                <w:szCs w:val="15"/>
              </w:rPr>
              <w:t xml:space="preserve">Identify and remove any remaining dead legs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L3</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Scale and biofilm in outlets and components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and visitors - bacterial growth in TMVs, spray taps and shower heads.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TMVs serviced and descaled to schedule</w:t>
            </w:r>
          </w:p>
          <w:p>
            <w:pPr>
              <w:pStyle w:val="ListParagraph"/>
              <w:numPr>
                <w:ilvl w:val="0"/>
                <w:numId w:val="1"/>
              </w:numPr>
              <w:spacing w:after="20" w:line="240"/>
            </w:pPr>
            <w:r>
              <w:rPr>
                <w:rFonts w:ascii="Calibri" w:cs="Calibri" w:eastAsia="Calibri" w:hAnsi="Calibri"/>
                <w:color w:val="1A1A1A"/>
                <w:sz w:val="15"/>
                <w:szCs w:val="15"/>
              </w:rPr>
              <w:t xml:space="preserve">Shower heads (where fitted) cleaned and descaled quarterly</w:t>
            </w:r>
          </w:p>
          <w:p>
            <w:pPr>
              <w:pStyle w:val="ListParagraph"/>
              <w:numPr>
                <w:ilvl w:val="0"/>
                <w:numId w:val="1"/>
              </w:numPr>
              <w:spacing w:after="20" w:line="240"/>
            </w:pPr>
            <w:r>
              <w:rPr>
                <w:rFonts w:ascii="Calibri" w:cs="Calibri" w:eastAsia="Calibri" w:hAnsi="Calibri"/>
                <w:color w:val="1A1A1A"/>
                <w:sz w:val="15"/>
                <w:szCs w:val="15"/>
              </w:rPr>
              <w:t xml:space="preserve">Spray taps included in the monitoring regime</w:t>
            </w:r>
          </w:p>
          <w:p>
            <w:pPr>
              <w:pStyle w:val="ListParagraph"/>
              <w:numPr>
                <w:ilvl w:val="0"/>
                <w:numId w:val="1"/>
              </w:numPr>
              <w:spacing w:after="20" w:line="240"/>
            </w:pPr>
            <w:r>
              <w:rPr>
                <w:rFonts w:ascii="Calibri" w:cs="Calibri" w:eastAsia="Calibri" w:hAnsi="Calibri"/>
                <w:color w:val="1A1A1A"/>
                <w:sz w:val="15"/>
                <w:szCs w:val="15"/>
              </w:rPr>
              <w:t xml:space="preserve">Confirm all wet outlets are on the asset register</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L4</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Stored hot water below control temperature</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and visitors - proliferation in water heaters / calorifiers running too cool.</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Stored hot water maintained above 60°C</w:t>
            </w:r>
          </w:p>
          <w:p>
            <w:pPr>
              <w:pStyle w:val="ListParagraph"/>
              <w:numPr>
                <w:ilvl w:val="0"/>
                <w:numId w:val="1"/>
              </w:numPr>
              <w:spacing w:after="20" w:line="240"/>
            </w:pPr>
            <w:r>
              <w:rPr>
                <w:rFonts w:ascii="Calibri" w:cs="Calibri" w:eastAsia="Calibri" w:hAnsi="Calibri"/>
                <w:color w:val="1A1A1A"/>
                <w:sz w:val="15"/>
                <w:szCs w:val="15"/>
              </w:rPr>
              <w:t xml:space="preserve">Calorifier flow above 60°C and return above 50°C</w:t>
            </w:r>
          </w:p>
          <w:p>
            <w:pPr>
              <w:pStyle w:val="ListParagraph"/>
              <w:numPr>
                <w:ilvl w:val="0"/>
                <w:numId w:val="1"/>
              </w:numPr>
              <w:spacing w:after="20" w:line="240"/>
            </w:pPr>
            <w:r>
              <w:rPr>
                <w:rFonts w:ascii="Calibri" w:cs="Calibri" w:eastAsia="Calibri" w:hAnsi="Calibri"/>
                <w:color w:val="1A1A1A"/>
                <w:sz w:val="15"/>
                <w:szCs w:val="15"/>
              </w:rPr>
              <w:t xml:space="preserve">Monthly temperature checks at sentinel outlets</w:t>
            </w:r>
          </w:p>
          <w:p>
            <w:pPr>
              <w:pStyle w:val="ListParagraph"/>
              <w:numPr>
                <w:ilvl w:val="0"/>
                <w:numId w:val="1"/>
              </w:numPr>
              <w:spacing w:after="20" w:line="240"/>
            </w:pPr>
            <w:r>
              <w:rPr>
                <w:rFonts w:ascii="Calibri" w:cs="Calibri" w:eastAsia="Calibri" w:hAnsi="Calibri"/>
                <w:color w:val="1A1A1A"/>
                <w:sz w:val="15"/>
                <w:szCs w:val="15"/>
              </w:rPr>
              <w:t xml:space="preserve">Log monthly calorifier and sentinel outlet temperatures</w:t>
            </w:r>
          </w:p>
          <w:p>
            <w:pPr>
              <w:pStyle w:val="ListParagraph"/>
              <w:numPr>
                <w:ilvl w:val="0"/>
                <w:numId w:val="1"/>
              </w:numPr>
              <w:spacing w:after="20" w:line="240"/>
            </w:pPr>
            <w:r>
              <w:rPr>
                <w:rFonts w:ascii="Calibri" w:cs="Calibri" w:eastAsia="Calibri" w:hAnsi="Calibri"/>
                <w:color w:val="1A1A1A"/>
                <w:sz w:val="15"/>
                <w:szCs w:val="15"/>
              </w:rPr>
              <w:t xml:space="preserve">Act on any out-of-range readings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L5</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Inadequate management arrangements / competence</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All occupants - failure of the control scheme through lack of competent oversight.</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Duty holder and responsible person appointed and trained</w:t>
            </w:r>
          </w:p>
          <w:p>
            <w:pPr>
              <w:pStyle w:val="ListParagraph"/>
              <w:numPr>
                <w:ilvl w:val="0"/>
                <w:numId w:val="1"/>
              </w:numPr>
              <w:spacing w:after="20" w:line="240"/>
            </w:pPr>
            <w:r>
              <w:rPr>
                <w:rFonts w:ascii="Calibri" w:cs="Calibri" w:eastAsia="Calibri" w:hAnsi="Calibri"/>
                <w:color w:val="1A1A1A"/>
                <w:sz w:val="15"/>
                <w:szCs w:val="15"/>
              </w:rPr>
              <w:t xml:space="preserve">Competent water treatment contractor engaged</w:t>
            </w:r>
          </w:p>
          <w:p>
            <w:pPr>
              <w:pStyle w:val="ListParagraph"/>
              <w:numPr>
                <w:ilvl w:val="0"/>
                <w:numId w:val="1"/>
              </w:numPr>
              <w:spacing w:after="20" w:line="240"/>
            </w:pPr>
            <w:r>
              <w:rPr>
                <w:rFonts w:ascii="Calibri" w:cs="Calibri" w:eastAsia="Calibri" w:hAnsi="Calibri"/>
                <w:color w:val="1A1A1A"/>
                <w:sz w:val="15"/>
                <w:szCs w:val="15"/>
              </w:rPr>
              <w:t xml:space="preserve">Logbook and records maintained</w:t>
            </w:r>
          </w:p>
          <w:p>
            <w:pPr>
              <w:pStyle w:val="ListParagraph"/>
              <w:numPr>
                <w:ilvl w:val="0"/>
                <w:numId w:val="1"/>
              </w:numPr>
              <w:spacing w:after="20" w:line="240"/>
            </w:pPr>
            <w:r>
              <w:rPr>
                <w:rFonts w:ascii="Calibri" w:cs="Calibri" w:eastAsia="Calibri" w:hAnsi="Calibri"/>
                <w:color w:val="1A1A1A"/>
                <w:sz w:val="15"/>
                <w:szCs w:val="15"/>
              </w:rPr>
              <w:t xml:space="preserve">Refresh responsible person training</w:t>
            </w:r>
          </w:p>
          <w:p>
            <w:pPr>
              <w:pStyle w:val="ListParagraph"/>
              <w:numPr>
                <w:ilvl w:val="0"/>
                <w:numId w:val="1"/>
              </w:numPr>
              <w:spacing w:after="20" w:line="240"/>
            </w:pPr>
            <w:r>
              <w:rPr>
                <w:rFonts w:ascii="Calibri" w:cs="Calibri" w:eastAsia="Calibri" w:hAnsi="Calibri"/>
                <w:color w:val="1A1A1A"/>
                <w:sz w:val="15"/>
                <w:szCs w:val="15"/>
              </w:rPr>
              <w:t xml:space="preserve">Keep the logbook current</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L6</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Stagnation following low occupancy or shutdown</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and visitors - proliferation after prolonged vacancy or system shutdown.</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Flushing regime covers low-occupancy periods</w:t>
            </w:r>
          </w:p>
          <w:p>
            <w:pPr>
              <w:pStyle w:val="ListParagraph"/>
              <w:numPr>
                <w:ilvl w:val="0"/>
                <w:numId w:val="1"/>
              </w:numPr>
              <w:spacing w:after="20" w:line="240"/>
            </w:pPr>
            <w:r>
              <w:rPr>
                <w:rFonts w:ascii="Calibri" w:cs="Calibri" w:eastAsia="Calibri" w:hAnsi="Calibri"/>
                <w:color w:val="1A1A1A"/>
                <w:sz w:val="15"/>
                <w:szCs w:val="15"/>
              </w:rPr>
              <w:t xml:space="preserve">System recommissioned to HSG274 after any shutdown</w:t>
            </w:r>
          </w:p>
          <w:p>
            <w:pPr>
              <w:pStyle w:val="ListParagraph"/>
              <w:numPr>
                <w:ilvl w:val="0"/>
                <w:numId w:val="1"/>
              </w:numPr>
              <w:spacing w:after="20" w:line="240"/>
            </w:pPr>
            <w:r>
              <w:rPr>
                <w:rFonts w:ascii="Calibri" w:cs="Calibri" w:eastAsia="Calibri" w:hAnsi="Calibri"/>
                <w:color w:val="1A1A1A"/>
                <w:sz w:val="15"/>
                <w:szCs w:val="15"/>
              </w:rPr>
              <w:t xml:space="preserve">Flush and, if required, disinfect after any prolonged vacancy before reoccupation</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bl>
    <w:p>
      <w:pPr>
        <w:spacing w:before="160"/>
      </w:pPr>
      <w:r>
        <w:rPr>
          <w:rFonts w:ascii="Calibri" w:cs="Calibri" w:eastAsia="Calibri" w:hAnsi="Calibri"/>
          <w:i/>
          <w:iCs/>
          <w:color w:val="595959"/>
          <w:sz w:val="15"/>
          <w:szCs w:val="15"/>
        </w:rPr>
        <w:t xml:space="preserve">This risk assessment must be reviewed within 12 months, following any incident or near miss, on significant change to the premises, staff, equipment or working practices, or where there is reason to believe it is no longer valid.</w:t>
      </w:r>
    </w:p>
    <w:p>
      <w:pPr>
        <w:spacing w:after="40" w:before="160"/>
      </w:pP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3800"/>
        <w:gridCol w:w="3800"/>
        <w:gridCol w:w="3800"/>
        <w:gridCol w:w="3800"/>
      </w:tblGrid>
      <w:tr>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Assessed by (sign)</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Date</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Reviewed by (sign)</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Date</w:t>
            </w:r>
          </w:p>
        </w:tc>
      </w:tr>
      <w:tr>
        <w:trPr>
          <w:trHeight w:val="500" w:hRule="atLeast"/>
        </w:trPr>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r>
    </w:tbl>
    <w:sectPr>
      <w:footerReference w:type="default" r:id="rId7"/>
      <w:pgSz w:w="16838" w:h="11906" w:orient="landscape"/>
      <w:pgMar w:top="640" w:right="640" w:bottom="720" w:left="6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15200"/>
      </w:tabs>
      <w:spacing w:before="60"/>
    </w:pPr>
    <w:r>
      <w:rPr>
        <w:rFonts w:ascii="Calibri" w:cs="Calibri" w:eastAsia="Calibri" w:hAnsi="Calibri"/>
        <w:color w:val="595959"/>
        <w:sz w:val="14"/>
        <w:szCs w:val="14"/>
      </w:rPr>
      <w:t xml:space="preserve">[DOC REF]  |  Template provided by AcreditSafe</w:t>
    </w:r>
    <w:r>
      <w:rPr>
        <w:rFonts w:ascii="Calibri" w:cs="Calibri" w:eastAsia="Calibri" w:hAnsi="Calibri"/>
        <w:color w:val="595959"/>
        <w:sz w:val="14"/>
        <w:szCs w:val="14"/>
      </w:rPr>
      <w:t xml:space="preserve">	Page </w:t>
    </w:r>
    <w:r>
      <w:rPr>
        <w:rFonts w:ascii="Calibri" w:cs="Calibri" w:eastAsia="Calibri" w:hAnsi="Calibri"/>
        <w:color w:val="595959"/>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6"/>
        <w:szCs w:val="1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359013-2037-4BD9-879F-9949F4D7C536}"/>
</file>

<file path=customXml/itemProps2.xml><?xml version="1.0" encoding="utf-8"?>
<ds:datastoreItem xmlns:ds="http://schemas.openxmlformats.org/officeDocument/2006/customXml" ds:itemID="{9DA5C49A-6419-4AB8-9BD6-B70463709DFA}"/>
</file>

<file path=customXml/itemProps3.xml><?xml version="1.0" encoding="utf-8"?>
<ds:datastoreItem xmlns:ds="http://schemas.openxmlformats.org/officeDocument/2006/customXml" ds:itemID="{7BCB1B57-3CF7-4B27-8162-E7494D92CB1F}"/>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2026-08-25T17:30:05Z</dcterms:created>
  <dcterms:modified xsi:type="dcterms:W3CDTF">2026-08-25T17:30:05Z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