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First Aid Procedure</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is committed to providing a safe and healthy work environment for all employees, subcontractors and temporary workers. While we work to prevent all incidents, we must be prepared to respond effectively to any injuries or illnesses that occur. These first aid arrangements ensure we comply with UK legislation and provide immediate, competent care to our workforce.</w:t>
      </w:r>
    </w:p>
    <w:p>
      <w:pPr>
        <w:spacing w:after="100" w:before="240"/>
      </w:pPr>
      <w:r>
        <w:rPr>
          <w:rFonts w:ascii="Calibri" w:cs="Calibri" w:eastAsia="Calibri" w:hAnsi="Calibri"/>
          <w:b/>
          <w:bCs/>
          <w:color w:val="06233D"/>
          <w:sz w:val="24"/>
          <w:szCs w:val="24"/>
        </w:rPr>
        <w:t xml:space="preserve">Scope</w:t>
      </w:r>
    </w:p>
    <w:p>
      <w:pPr>
        <w:spacing w:after="120" w:line="264"/>
      </w:pPr>
      <w:r>
        <w:rPr>
          <w:rFonts w:ascii="Calibri" w:cs="Calibri" w:eastAsia="Calibri" w:hAnsi="Calibri"/>
          <w:color w:val="1A1A1A"/>
          <w:sz w:val="21"/>
          <w:szCs w:val="21"/>
        </w:rPr>
        <w:t xml:space="preserve">This procedure applies to all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employees, including those based in offices and those operating on-site. It also outlines the expectations for subcontractors and temporary workers to ensure a unified approach to first aid delivery.</w:t>
      </w:r>
    </w:p>
    <w:p>
      <w:pPr>
        <w:spacing w:after="100" w:before="240"/>
      </w:pPr>
      <w:r>
        <w:rPr>
          <w:rFonts w:ascii="Calibri" w:cs="Calibri" w:eastAsia="Calibri" w:hAnsi="Calibri"/>
          <w:b/>
          <w:bCs/>
          <w:color w:val="06233D"/>
          <w:sz w:val="24"/>
          <w:szCs w:val="24"/>
        </w:rPr>
        <w:t xml:space="preserve">Legislation and Standards</w:t>
      </w:r>
    </w:p>
    <w:p>
      <w:pPr>
        <w:pStyle w:val="ListParagraph"/>
        <w:numPr>
          <w:ilvl w:val="0"/>
          <w:numId w:val="2"/>
        </w:numPr>
        <w:spacing w:after="70" w:line="264"/>
      </w:pPr>
      <w:r>
        <w:rPr>
          <w:rFonts w:ascii="Calibri" w:cs="Calibri" w:eastAsia="Calibri" w:hAnsi="Calibri"/>
          <w:color w:val="1A1A1A"/>
          <w:sz w:val="21"/>
          <w:szCs w:val="21"/>
        </w:rPr>
        <w:t xml:space="preserve">The Health and Safety (First-Aid) Regulations 1981, requiring employers to provide adequate and appropriate equipment, facilities and personnel.</w:t>
      </w:r>
    </w:p>
    <w:p>
      <w:pPr>
        <w:pStyle w:val="ListParagraph"/>
        <w:numPr>
          <w:ilvl w:val="0"/>
          <w:numId w:val="2"/>
        </w:numPr>
        <w:spacing w:after="70" w:line="264"/>
      </w:pPr>
      <w:r>
        <w:rPr>
          <w:rFonts w:ascii="Calibri" w:cs="Calibri" w:eastAsia="Calibri" w:hAnsi="Calibri"/>
          <w:color w:val="1A1A1A"/>
          <w:sz w:val="21"/>
          <w:szCs w:val="21"/>
        </w:rPr>
        <w:t xml:space="preserve">The Health and Safety at Work etc. Act 1974, outlining the general duty of care.</w:t>
      </w:r>
    </w:p>
    <w:p>
      <w:pPr>
        <w:pStyle w:val="ListParagraph"/>
        <w:numPr>
          <w:ilvl w:val="0"/>
          <w:numId w:val="2"/>
        </w:numPr>
        <w:spacing w:after="70" w:line="264"/>
      </w:pPr>
      <w:r>
        <w:rPr>
          <w:rFonts w:ascii="Calibri" w:cs="Calibri" w:eastAsia="Calibri" w:hAnsi="Calibri"/>
          <w:color w:val="1A1A1A"/>
          <w:sz w:val="21"/>
          <w:szCs w:val="21"/>
        </w:rPr>
        <w:t xml:space="preserve">HSE Guidance L74, the standard for first aid at work and the requirements for training and equipment.</w:t>
      </w:r>
    </w:p>
    <w:p>
      <w:pPr>
        <w:spacing w:after="100" w:before="240"/>
      </w:pPr>
      <w:r>
        <w:rPr>
          <w:rFonts w:ascii="Calibri" w:cs="Calibri" w:eastAsia="Calibri" w:hAnsi="Calibri"/>
          <w:b/>
          <w:bCs/>
          <w:color w:val="06233D"/>
          <w:sz w:val="24"/>
          <w:szCs w:val="24"/>
        </w:rPr>
        <w:t xml:space="preserve">Responsibilities</w:t>
      </w:r>
    </w:p>
    <w:p>
      <w:pPr>
        <w:pStyle w:val="ListParagraph"/>
        <w:numPr>
          <w:ilvl w:val="0"/>
          <w:numId w:val="2"/>
        </w:numPr>
        <w:spacing w:after="70" w:line="264"/>
      </w:pPr>
      <w:r>
        <w:rPr>
          <w:rFonts w:ascii="Calibri" w:cs="Calibri" w:eastAsia="Calibri" w:hAnsi="Calibri"/>
          <w:color w:val="1A1A1A"/>
          <w:sz w:val="21"/>
          <w:szCs w:val="21"/>
        </w:rPr>
        <w:t xml:space="preserve">Senior management holds overall responsibility for ensuring adequate first aid provision, including the budget for training, equipment and resources.</w:t>
      </w:r>
    </w:p>
    <w:p>
      <w:pPr>
        <w:pStyle w:val="ListParagraph"/>
        <w:numPr>
          <w:ilvl w:val="0"/>
          <w:numId w:val="2"/>
        </w:numPr>
        <w:spacing w:after="70" w:line="264"/>
      </w:pPr>
      <w:r>
        <w:rPr>
          <w:rFonts w:ascii="Calibri" w:cs="Calibri" w:eastAsia="Calibri" w:hAnsi="Calibri"/>
          <w:color w:val="1A1A1A"/>
          <w:sz w:val="21"/>
          <w:szCs w:val="21"/>
        </w:rPr>
        <w:t xml:space="preserve">The health and safety lead manages day-to-day implementation, including first aid needs assessments, appointing competent first aiders and maintaining the training records.</w:t>
      </w:r>
    </w:p>
    <w:p>
      <w:pPr>
        <w:pStyle w:val="ListParagraph"/>
        <w:numPr>
          <w:ilvl w:val="0"/>
          <w:numId w:val="2"/>
        </w:numPr>
        <w:spacing w:after="70" w:line="264"/>
      </w:pPr>
      <w:r>
        <w:rPr>
          <w:rFonts w:ascii="Calibri" w:cs="Calibri" w:eastAsia="Calibri" w:hAnsi="Calibri"/>
          <w:color w:val="1A1A1A"/>
          <w:sz w:val="21"/>
          <w:szCs w:val="21"/>
        </w:rPr>
        <w:t xml:space="preserve">The on-site supervisor ensures first aid equipment is accessible, first aiders are available during working hours, and any use of first aid is reported through the correct channels.</w:t>
      </w:r>
    </w:p>
    <w:p>
      <w:pPr>
        <w:pStyle w:val="ListParagraph"/>
        <w:numPr>
          <w:ilvl w:val="0"/>
          <w:numId w:val="2"/>
        </w:numPr>
        <w:spacing w:after="70" w:line="264"/>
      </w:pPr>
      <w:r>
        <w:rPr>
          <w:rFonts w:ascii="Calibri" w:cs="Calibri" w:eastAsia="Calibri" w:hAnsi="Calibri"/>
          <w:color w:val="1A1A1A"/>
          <w:sz w:val="21"/>
          <w:szCs w:val="21"/>
        </w:rPr>
        <w:t xml:space="preserve">All employees are expected to know the location of first aid facilities and the identity of their designated first aider, as provided during induction.</w:t>
      </w:r>
    </w:p>
    <w:p>
      <w:pPr>
        <w:spacing w:after="100" w:before="240"/>
      </w:pPr>
      <w:r>
        <w:rPr>
          <w:rFonts w:ascii="Calibri" w:cs="Calibri" w:eastAsia="Calibri" w:hAnsi="Calibri"/>
          <w:b/>
          <w:bCs/>
          <w:color w:val="06233D"/>
          <w:sz w:val="24"/>
          <w:szCs w:val="24"/>
        </w:rPr>
        <w:t xml:space="preserve">First Aid Needs Assessment</w:t>
      </w:r>
    </w:p>
    <w:p>
      <w:pPr>
        <w:pStyle w:val="ListParagraph"/>
        <w:numPr>
          <w:ilvl w:val="0"/>
          <w:numId w:val="2"/>
        </w:numPr>
        <w:spacing w:after="70" w:line="264"/>
      </w:pPr>
      <w:r>
        <w:rPr>
          <w:rFonts w:ascii="Calibri" w:cs="Calibri" w:eastAsia="Calibri" w:hAnsi="Calibri"/>
          <w:color w:val="1A1A1A"/>
          <w:sz w:val="21"/>
          <w:szCs w:val="21"/>
        </w:rPr>
        <w:t xml:space="preserve">Regular assessments are conducted to identify hazards and determine the appropriate level of first aid provision for each site or office.</w:t>
      </w:r>
    </w:p>
    <w:p>
      <w:pPr>
        <w:pStyle w:val="ListParagraph"/>
        <w:numPr>
          <w:ilvl w:val="0"/>
          <w:numId w:val="2"/>
        </w:numPr>
        <w:spacing w:after="70" w:line="264"/>
      </w:pPr>
      <w:r>
        <w:rPr>
          <w:rFonts w:ascii="Calibri" w:cs="Calibri" w:eastAsia="Calibri" w:hAnsi="Calibri"/>
          <w:color w:val="1A1A1A"/>
          <w:sz w:val="21"/>
          <w:szCs w:val="21"/>
        </w:rPr>
        <w:t xml:space="preserve">The assessment considers the number of employees, the nature of the work (such as working with hazardous materials or at height), site location, and accident history.</w:t>
      </w:r>
    </w:p>
    <w:p>
      <w:pPr>
        <w:pStyle w:val="ListParagraph"/>
        <w:numPr>
          <w:ilvl w:val="0"/>
          <w:numId w:val="2"/>
        </w:numPr>
        <w:spacing w:after="70" w:line="264"/>
      </w:pPr>
      <w:r>
        <w:rPr>
          <w:rFonts w:ascii="Calibri" w:cs="Calibri" w:eastAsia="Calibri" w:hAnsi="Calibri"/>
          <w:color w:val="1A1A1A"/>
          <w:sz w:val="21"/>
          <w:szCs w:val="21"/>
        </w:rPr>
        <w:t xml:space="preserve">The health and safety lead leads this process with input from site-based staff.</w:t>
      </w:r>
    </w:p>
    <w:p>
      <w:pPr>
        <w:pStyle w:val="ListParagraph"/>
        <w:numPr>
          <w:ilvl w:val="0"/>
          <w:numId w:val="2"/>
        </w:numPr>
        <w:spacing w:after="70" w:line="264"/>
      </w:pPr>
      <w:r>
        <w:rPr>
          <w:rFonts w:ascii="Calibri" w:cs="Calibri" w:eastAsia="Calibri" w:hAnsi="Calibri"/>
          <w:color w:val="1A1A1A"/>
          <w:sz w:val="21"/>
          <w:szCs w:val="21"/>
        </w:rPr>
        <w:t xml:space="preserve">In line with HSE guidance L74, the assessment also takes account of employees' mental health, and consideration is given to having staff trained to recognise and support colleagues experiencing mental ill health.</w:t>
      </w:r>
    </w:p>
    <w:p>
      <w:pPr>
        <w:spacing w:after="100" w:before="240"/>
      </w:pPr>
      <w:r>
        <w:rPr>
          <w:rFonts w:ascii="Calibri" w:cs="Calibri" w:eastAsia="Calibri" w:hAnsi="Calibri"/>
          <w:b/>
          <w:bCs/>
          <w:color w:val="06233D"/>
          <w:sz w:val="24"/>
          <w:szCs w:val="24"/>
        </w:rPr>
        <w:t xml:space="preserve">First Aiders</w:t>
      </w:r>
    </w:p>
    <w:p>
      <w:pPr>
        <w:pStyle w:val="ListParagraph"/>
        <w:numPr>
          <w:ilvl w:val="0"/>
          <w:numId w:val="2"/>
        </w:numPr>
        <w:spacing w:after="70" w:line="264"/>
      </w:pPr>
      <w:r>
        <w:rPr>
          <w:rFonts w:ascii="Calibri" w:cs="Calibri" w:eastAsia="Calibri" w:hAnsi="Calibri"/>
          <w:color w:val="1A1A1A"/>
          <w:sz w:val="21"/>
          <w:szCs w:val="21"/>
        </w:rPr>
        <w:t xml:space="preserve">Appointment: personnel are appointed as first aiders based on the needs assessment and must undergo formal training with an accredited provider.</w:t>
      </w:r>
    </w:p>
    <w:p>
      <w:pPr>
        <w:pStyle w:val="ListParagraph"/>
        <w:numPr>
          <w:ilvl w:val="0"/>
          <w:numId w:val="2"/>
        </w:numPr>
        <w:spacing w:after="70" w:line="264"/>
      </w:pPr>
      <w:r>
        <w:rPr>
          <w:rFonts w:ascii="Calibri" w:cs="Calibri" w:eastAsia="Calibri" w:hAnsi="Calibri"/>
          <w:color w:val="1A1A1A"/>
          <w:sz w:val="21"/>
          <w:szCs w:val="21"/>
        </w:rPr>
        <w:t xml:space="preserve">Certification: qualifications are typically valid for three years, with refresher training completed before re-certification.</w:t>
      </w:r>
    </w:p>
    <w:p>
      <w:pPr>
        <w:pStyle w:val="ListParagraph"/>
        <w:numPr>
          <w:ilvl w:val="0"/>
          <w:numId w:val="2"/>
        </w:numPr>
        <w:spacing w:after="70" w:line="264"/>
      </w:pPr>
      <w:r>
        <w:rPr>
          <w:rFonts w:ascii="Calibri" w:cs="Calibri" w:eastAsia="Calibri" w:hAnsi="Calibri"/>
          <w:color w:val="1A1A1A"/>
          <w:sz w:val="21"/>
          <w:szCs w:val="21"/>
        </w:rPr>
        <w:t xml:space="preserve">Visibility: contact information for all designated first aiders is posted on notice boards in the office and at all site locations.</w:t>
      </w:r>
    </w:p>
    <w:p>
      <w:pPr>
        <w:pStyle w:val="ListParagraph"/>
        <w:numPr>
          <w:ilvl w:val="0"/>
          <w:numId w:val="2"/>
        </w:numPr>
        <w:spacing w:after="70" w:line="264"/>
      </w:pPr>
      <w:r>
        <w:rPr>
          <w:rFonts w:ascii="Calibri" w:cs="Calibri" w:eastAsia="Calibri" w:hAnsi="Calibri"/>
          <w:color w:val="1A1A1A"/>
          <w:sz w:val="21"/>
          <w:szCs w:val="21"/>
        </w:rPr>
        <w:t xml:space="preserve">Records: a central register of first aiders is maintained, with training certificates stored securely for audit purposes.</w:t>
      </w:r>
    </w:p>
    <w:p>
      <w:pPr>
        <w:spacing w:after="100" w:before="240"/>
      </w:pPr>
      <w:r>
        <w:rPr>
          <w:rFonts w:ascii="Calibri" w:cs="Calibri" w:eastAsia="Calibri" w:hAnsi="Calibri"/>
          <w:b/>
          <w:bCs/>
          <w:color w:val="06233D"/>
          <w:sz w:val="24"/>
          <w:szCs w:val="24"/>
        </w:rPr>
        <w:t xml:space="preserve">First Aid Facilities</w:t>
      </w:r>
    </w:p>
    <w:p>
      <w:pPr>
        <w:pStyle w:val="ListParagraph"/>
        <w:numPr>
          <w:ilvl w:val="0"/>
          <w:numId w:val="2"/>
        </w:numPr>
        <w:spacing w:after="70" w:line="264"/>
      </w:pPr>
      <w:r>
        <w:rPr>
          <w:rFonts w:ascii="Calibri" w:cs="Calibri" w:eastAsia="Calibri" w:hAnsi="Calibri"/>
          <w:color w:val="1A1A1A"/>
          <w:sz w:val="21"/>
          <w:szCs w:val="21"/>
        </w:rPr>
        <w:t xml:space="preserve">Equipment: adequate first aid kits are placed in accessible, clearly marked areas and stocked in accordance with HSE guidelines.</w:t>
      </w:r>
    </w:p>
    <w:p>
      <w:pPr>
        <w:pStyle w:val="ListParagraph"/>
        <w:numPr>
          <w:ilvl w:val="0"/>
          <w:numId w:val="2"/>
        </w:numPr>
        <w:spacing w:after="70" w:line="264"/>
      </w:pPr>
      <w:r>
        <w:rPr>
          <w:rFonts w:ascii="Calibri" w:cs="Calibri" w:eastAsia="Calibri" w:hAnsi="Calibri"/>
          <w:color w:val="1A1A1A"/>
          <w:sz w:val="21"/>
          <w:szCs w:val="21"/>
        </w:rPr>
        <w:t xml:space="preserve">Maintenance: the on-site supervisor checks and replenishes contents regularly to ensure they remain ready for use.</w:t>
      </w:r>
    </w:p>
    <w:p>
      <w:pPr>
        <w:pStyle w:val="ListParagraph"/>
        <w:numPr>
          <w:ilvl w:val="0"/>
          <w:numId w:val="2"/>
        </w:numPr>
        <w:spacing w:after="70" w:line="264"/>
      </w:pPr>
      <w:r>
        <w:rPr>
          <w:rFonts w:ascii="Calibri" w:cs="Calibri" w:eastAsia="Calibri" w:hAnsi="Calibri"/>
          <w:color w:val="1A1A1A"/>
          <w:sz w:val="21"/>
          <w:szCs w:val="21"/>
        </w:rPr>
        <w:t xml:space="preserve">Specialist provision: eye wash stations are provided where chemical or dust hazards exist.</w:t>
      </w:r>
    </w:p>
    <w:p>
      <w:pPr>
        <w:pStyle w:val="ListParagraph"/>
        <w:numPr>
          <w:ilvl w:val="0"/>
          <w:numId w:val="2"/>
        </w:numPr>
        <w:spacing w:after="70" w:line="264"/>
      </w:pPr>
      <w:r>
        <w:rPr>
          <w:rFonts w:ascii="Calibri" w:cs="Calibri" w:eastAsia="Calibri" w:hAnsi="Calibri"/>
          <w:color w:val="1A1A1A"/>
          <w:sz w:val="21"/>
          <w:szCs w:val="21"/>
        </w:rPr>
        <w:t xml:space="preserve">Emergency equipment: the health and safety lead evaluates the need for additional equipment, such as automated external defibrillators (AEDs), as part of the annual review.</w:t>
      </w:r>
    </w:p>
    <w:p>
      <w:pPr>
        <w:spacing w:after="100" w:before="240"/>
      </w:pPr>
      <w:r>
        <w:rPr>
          <w:rFonts w:ascii="Calibri" w:cs="Calibri" w:eastAsia="Calibri" w:hAnsi="Calibri"/>
          <w:b/>
          <w:bCs/>
          <w:color w:val="06233D"/>
          <w:sz w:val="24"/>
          <w:szCs w:val="24"/>
        </w:rPr>
        <w:t xml:space="preserve">Accident Reporting and Investigation</w:t>
      </w:r>
    </w:p>
    <w:p>
      <w:pPr>
        <w:pStyle w:val="ListParagraph"/>
        <w:numPr>
          <w:ilvl w:val="0"/>
          <w:numId w:val="2"/>
        </w:numPr>
        <w:spacing w:after="70" w:line="264"/>
      </w:pPr>
      <w:r>
        <w:rPr>
          <w:rFonts w:ascii="Calibri" w:cs="Calibri" w:eastAsia="Calibri" w:hAnsi="Calibri"/>
          <w:color w:val="1A1A1A"/>
          <w:sz w:val="21"/>
          <w:szCs w:val="21"/>
        </w:rPr>
        <w:t xml:space="preserve">Immediate action: all accidents and incidents, regardless of severity, must be reported to the supervisor or office manager immediately.</w:t>
      </w:r>
    </w:p>
    <w:p>
      <w:pPr>
        <w:pStyle w:val="ListParagraph"/>
        <w:numPr>
          <w:ilvl w:val="0"/>
          <w:numId w:val="2"/>
        </w:numPr>
        <w:spacing w:after="70" w:line="264"/>
      </w:pPr>
      <w:r>
        <w:rPr>
          <w:rFonts w:ascii="Calibri" w:cs="Calibri" w:eastAsia="Calibri" w:hAnsi="Calibri"/>
          <w:color w:val="1A1A1A"/>
          <w:sz w:val="21"/>
          <w:szCs w:val="21"/>
        </w:rPr>
        <w:t xml:space="preserve">Documentation: the supervisor completes an accident report detailing the injured person, the circumstances and the first aid treatment provided.</w:t>
      </w:r>
    </w:p>
    <w:p>
      <w:pPr>
        <w:pStyle w:val="ListParagraph"/>
        <w:numPr>
          <w:ilvl w:val="0"/>
          <w:numId w:val="2"/>
        </w:numPr>
        <w:spacing w:after="70" w:line="264"/>
      </w:pPr>
      <w:r>
        <w:rPr>
          <w:rFonts w:ascii="Calibri" w:cs="Calibri" w:eastAsia="Calibri" w:hAnsi="Calibri"/>
          <w:color w:val="1A1A1A"/>
          <w:sz w:val="21"/>
          <w:szCs w:val="21"/>
        </w:rPr>
        <w:t xml:space="preserve">Investigation: the health and safety lead investigates incidents to identify root causes and implement corrective actions.</w:t>
      </w:r>
    </w:p>
    <w:p>
      <w:pPr>
        <w:pStyle w:val="ListParagraph"/>
        <w:numPr>
          <w:ilvl w:val="0"/>
          <w:numId w:val="2"/>
        </w:numPr>
        <w:spacing w:after="70" w:line="264"/>
      </w:pPr>
      <w:r>
        <w:rPr>
          <w:rFonts w:ascii="Calibri" w:cs="Calibri" w:eastAsia="Calibri" w:hAnsi="Calibri"/>
          <w:color w:val="1A1A1A"/>
          <w:sz w:val="21"/>
          <w:szCs w:val="21"/>
        </w:rPr>
        <w:t xml:space="preserve">Confidentiality: all accident records are maintained confidentially in compliance with data protection requirements.</w:t>
      </w:r>
    </w:p>
    <w:p>
      <w:pPr>
        <w:spacing w:after="100" w:before="240"/>
      </w:pPr>
      <w:r>
        <w:rPr>
          <w:rFonts w:ascii="Calibri" w:cs="Calibri" w:eastAsia="Calibri" w:hAnsi="Calibri"/>
          <w:b/>
          <w:bCs/>
          <w:color w:val="06233D"/>
          <w:sz w:val="24"/>
          <w:szCs w:val="24"/>
        </w:rPr>
        <w:t xml:space="preserve">Emergency Procedures</w:t>
      </w:r>
    </w:p>
    <w:p>
      <w:pPr>
        <w:pStyle w:val="ListParagraph"/>
        <w:numPr>
          <w:ilvl w:val="0"/>
          <w:numId w:val="2"/>
        </w:numPr>
        <w:spacing w:after="70" w:line="264"/>
      </w:pPr>
      <w:r>
        <w:rPr>
          <w:rFonts w:ascii="Calibri" w:cs="Calibri" w:eastAsia="Calibri" w:hAnsi="Calibri"/>
          <w:color w:val="1A1A1A"/>
          <w:sz w:val="21"/>
          <w:szCs w:val="21"/>
        </w:rPr>
        <w:t xml:space="preserve">Emergency contacts: information for local emergency services and the nearest A&amp;E department is displayed prominently at every work location.</w:t>
      </w:r>
    </w:p>
    <w:p>
      <w:pPr>
        <w:pStyle w:val="ListParagraph"/>
        <w:numPr>
          <w:ilvl w:val="0"/>
          <w:numId w:val="2"/>
        </w:numPr>
        <w:spacing w:after="70" w:line="264"/>
      </w:pPr>
      <w:r>
        <w:rPr>
          <w:rFonts w:ascii="Calibri" w:cs="Calibri" w:eastAsia="Calibri" w:hAnsi="Calibri"/>
          <w:color w:val="1A1A1A"/>
          <w:sz w:val="21"/>
          <w:szCs w:val="21"/>
        </w:rPr>
        <w:t xml:space="preserve">Coordination: first aid response is integrated into the wider emergency plan for each site.</w:t>
      </w:r>
    </w:p>
    <w:p>
      <w:pPr>
        <w:pStyle w:val="ListParagraph"/>
        <w:numPr>
          <w:ilvl w:val="0"/>
          <w:numId w:val="2"/>
        </w:numPr>
        <w:spacing w:after="70" w:line="264"/>
      </w:pPr>
      <w:r>
        <w:rPr>
          <w:rFonts w:ascii="Calibri" w:cs="Calibri" w:eastAsia="Calibri" w:hAnsi="Calibri"/>
          <w:color w:val="1A1A1A"/>
          <w:sz w:val="21"/>
          <w:szCs w:val="21"/>
        </w:rPr>
        <w:t xml:space="preserve">Drills: preparedness is verified through regular emergency drills.</w:t>
      </w:r>
    </w:p>
    <w:p>
      <w:pPr>
        <w:spacing w:after="100" w:before="240"/>
      </w:pPr>
      <w:r>
        <w:rPr>
          <w:rFonts w:ascii="Calibri" w:cs="Calibri" w:eastAsia="Calibri" w:hAnsi="Calibri"/>
          <w:b/>
          <w:bCs/>
          <w:color w:val="06233D"/>
          <w:sz w:val="24"/>
          <w:szCs w:val="24"/>
        </w:rPr>
        <w:t xml:space="preserve">Review and Evaluation</w:t>
      </w:r>
    </w:p>
    <w:p>
      <w:pPr>
        <w:pStyle w:val="ListParagraph"/>
        <w:numPr>
          <w:ilvl w:val="0"/>
          <w:numId w:val="2"/>
        </w:numPr>
        <w:spacing w:after="70" w:line="264"/>
      </w:pPr>
      <w:r>
        <w:rPr>
          <w:rFonts w:ascii="Calibri" w:cs="Calibri" w:eastAsia="Calibri" w:hAnsi="Calibri"/>
          <w:color w:val="1A1A1A"/>
          <w:sz w:val="21"/>
          <w:szCs w:val="21"/>
        </w:rPr>
        <w:t xml:space="preserve">Annual review: these first aid arrangements are reviewed every year by senior management and the health and safety lead.</w:t>
      </w:r>
    </w:p>
    <w:p>
      <w:pPr>
        <w:pStyle w:val="ListParagraph"/>
        <w:numPr>
          <w:ilvl w:val="0"/>
          <w:numId w:val="2"/>
        </w:numPr>
        <w:spacing w:after="70" w:line="264"/>
      </w:pPr>
      <w:r>
        <w:rPr>
          <w:rFonts w:ascii="Calibri" w:cs="Calibri" w:eastAsia="Calibri" w:hAnsi="Calibri"/>
          <w:color w:val="1A1A1A"/>
          <w:sz w:val="21"/>
          <w:szCs w:val="21"/>
        </w:rPr>
        <w:t xml:space="preserve">Continuous improvement: the review assesses the effectiveness of medical response, equipment availability and training levels, incorporating lessons learned from the previous year's accident data.</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C1E63A-0C18-4E1D-8AF2-C25F9F799407}"/>
</file>

<file path=customXml/itemProps2.xml><?xml version="1.0" encoding="utf-8"?>
<ds:datastoreItem xmlns:ds="http://schemas.openxmlformats.org/officeDocument/2006/customXml" ds:itemID="{3FDB16D3-786E-4784-96F8-631323EC7BFE}"/>
</file>

<file path=customXml/itemProps3.xml><?xml version="1.0" encoding="utf-8"?>
<ds:datastoreItem xmlns:ds="http://schemas.openxmlformats.org/officeDocument/2006/customXml" ds:itemID="{C2E281F4-29BD-4C52-BB9C-296B242A443A}"/>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2026-08-25T17:20:56Z</dcterms:created>
  <dcterms:modified xsi:type="dcterms:W3CDTF">2026-08-25T17:20:56Z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