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200"/>
        <w:tblBorders>
          <w:top w:val="single" w:color="06233D" w:sz="6"/>
          <w:left w:val="single" w:color="06233D" w:sz="6"/>
          <w:bottom w:val="single" w:color="06233D" w:sz="6"/>
          <w:right w:val="single" w:color="06233D" w:sz="6"/>
          <w:insideH w:val="single" w:color="06233D" w:sz="6"/>
          <w:insideV w:val="single" w:color="06233D" w:sz="6"/>
        </w:tblBorders>
      </w:tblPr>
      <w:tblGrid>
        <w:gridCol w:w="2200"/>
        <w:gridCol w:w="9000"/>
        <w:gridCol w:w="4000"/>
      </w:tblGrid>
      <w:tr>
        <w:tc>
          <w:tcPr>
            <w:tcW w:type="dxa" w:w="2200"/>
            <w:tcMar>
              <w:top w:type="dxa" w:w="40"/>
              <w:left w:type="dxa" w:w="60"/>
              <w:bottom w:type="dxa" w:w="40"/>
              <w:right w:type="dxa" w:w="60"/>
            </w:tcMar>
            <w:vAlign w:val="center"/>
          </w:tcPr>
          <w:p>
            <w:pPr>
              <w:jc w:val="center"/>
            </w:pPr>
            <w:r>
              <w:rPr>
                <w:rFonts w:ascii="Calibri" w:cs="Calibri" w:eastAsia="Calibri" w:hAnsi="Calibri"/>
                <w:b/>
                <w:bCs/>
                <w:color w:val="C00000"/>
                <w:sz w:val="20"/>
                <w:szCs w:val="20"/>
              </w:rPr>
              <w:t xml:space="preserve">[LOGO]</w:t>
            </w:r>
          </w:p>
        </w:tc>
        <w:tc>
          <w:tcPr>
            <w:tcW w:type="dxa" w:w="9000"/>
            <w:tcMar>
              <w:top w:type="dxa" w:w="40"/>
              <w:left w:type="dxa" w:w="60"/>
              <w:bottom w:type="dxa" w:w="40"/>
              <w:right w:type="dxa" w:w="60"/>
            </w:tcMar>
            <w:vAlign w:val="center"/>
          </w:tcPr>
          <w:p>
            <w:r>
              <w:rPr>
                <w:rFonts w:ascii="Calibri" w:cs="Calibri" w:eastAsia="Calibri" w:hAnsi="Calibri"/>
                <w:b/>
                <w:bCs/>
                <w:color w:val="06233D"/>
                <w:sz w:val="30"/>
                <w:szCs w:val="30"/>
              </w:rPr>
              <w:t xml:space="preserve">Risk Assessment</w:t>
            </w:r>
          </w:p>
        </w:tc>
        <w:tc>
          <w:tcPr>
            <w:tcW w:type="dxa" w:w="4000"/>
            <w:shd w:fill="F4F6FC" w:color="auto" w:val="clear"/>
            <w:tcMar>
              <w:top w:type="dxa" w:w="40"/>
              <w:left w:type="dxa" w:w="60"/>
              <w:bottom w:type="dxa" w:w="40"/>
              <w:right w:type="dxa" w:w="60"/>
            </w:tcMar>
            <w:vAlign w:val="center"/>
          </w:tcPr>
          <w:p>
            <w:r>
              <w:rPr>
                <w:rFonts w:ascii="Calibri" w:cs="Calibri" w:eastAsia="Calibri" w:hAnsi="Calibri"/>
                <w:b/>
                <w:bCs/>
                <w:color w:val="C00000"/>
                <w:sz w:val="18"/>
                <w:szCs w:val="18"/>
              </w:rPr>
              <w:t xml:space="preserve">[DOC REF]</w:t>
            </w:r>
          </w:p>
          <w:p>
            <w:r>
              <w:rPr>
                <w:rFonts w:ascii="Calibri" w:cs="Calibri" w:eastAsia="Calibri" w:hAnsi="Calibri"/>
                <w:b/>
                <w:bCs/>
                <w:color w:val="06233D"/>
                <w:sz w:val="18"/>
                <w:szCs w:val="18"/>
              </w:rPr>
              <w:t xml:space="preserve">Fire Safety</w:t>
            </w:r>
          </w:p>
        </w:tc>
      </w:tr>
    </w:tbl>
    <w:p>
      <w:pPr>
        <w:spacing w:after="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2400"/>
        <w:gridCol w:w="5200"/>
        <w:gridCol w:w="2400"/>
        <w:gridCol w:w="5200"/>
      </w:tblGrid>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Company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[COMPANY NAME]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Ref.</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[DOC REF]</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Title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Fire Safety</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Revision</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[REV]</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Assessed By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[ASSESSOR NAME / ROLE]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[DATE]</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Location / Scope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[LOCATION / SCOPE]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Review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Within 12 months or on significant change</w:t>
            </w:r>
          </w:p>
        </w:tc>
      </w:tr>
    </w:tbl>
    <w:p>
      <w:pPr>
        <w:spacing w:after="120"/>
      </w:pPr>
    </w:p>
    <w:p>
      <w:pPr>
        <w:spacing w:after="60" w:before="60"/>
      </w:pPr>
      <w:r>
        <w:rPr>
          <w:rFonts w:ascii="Calibri" w:cs="Calibri" w:eastAsia="Calibri" w:hAnsi="Calibri"/>
          <w:b/>
          <w:bCs/>
          <w:color w:val="06233D"/>
          <w:sz w:val="18"/>
          <w:szCs w:val="18"/>
        </w:rPr>
        <w:t xml:space="preserve">Risk Rating Methodology (5 × 5): Risk = Likelihood × Severity</w:t>
      </w:r>
    </w:p>
    <w:tbl>
      <w:tblPr>
        <w:tblW w:type="dxa" w:w="15200"/>
        <w:tblBorders>
          <w:top w:val="single" w:color="FFFFFF" w:sz="4"/>
          <w:left w:val="single" w:color="FFFFFF" w:sz="4"/>
          <w:bottom w:val="single" w:color="FFFFFF" w:sz="4"/>
          <w:right w:val="single" w:color="FFFFFF" w:sz="4"/>
          <w:insideH w:val="single" w:color="FFFFFF" w:sz="4"/>
          <w:insideV w:val="single" w:color="FFFFFF" w:sz="4"/>
        </w:tblBorders>
      </w:tblPr>
      <w:tblGrid>
        <w:gridCol w:w="9200"/>
        <w:gridCol w:w="6000"/>
      </w:tblGrid>
      <w:tr>
        <w:tc>
          <w:tcPr>
            <w:tcMar>
              <w:top w:type="dxa" w:w="40"/>
              <w:left w:type="dxa" w:w="60"/>
              <w:bottom w:type="dxa" w:w="40"/>
              <w:right w:type="dxa" w:w="60"/>
            </w:tcMar>
            <w:vAlign w:val="top"/>
          </w:tcPr>
          <w:tbl>
            <w:tblPr>
              <w:tblW w:type="dxa" w:w="9000"/>
              <w:tblBorders>
                <w:top w:val="single" w:color="888888" w:sz="4"/>
                <w:left w:val="single" w:color="888888" w:sz="4"/>
                <w:bottom w:val="single" w:color="888888" w:sz="4"/>
                <w:right w:val="single" w:color="888888" w:sz="4"/>
                <w:insideH w:val="single" w:color="888888" w:sz="4"/>
                <w:insideV w:val="single" w:color="888888" w:sz="4"/>
              </w:tblBorders>
            </w:tblPr>
            <w:tblGrid>
              <w:gridCol w:w="2000"/>
              <w:gridCol w:w="1400"/>
              <w:gridCol w:w="1400"/>
              <w:gridCol w:w="1400"/>
              <w:gridCol w:w="1400"/>
              <w:gridCol w:w="1400"/>
            </w:tblGrid>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4"/>
                      <w:szCs w:val="14"/>
                    </w:rPr>
                    <w:t xml:space="preserve">L ↓ / S →</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16</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9</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r>
          </w:tbl>
          <w:p/>
        </w:tc>
        <w:tc>
          <w:tcPr>
            <w:tcMar>
              <w:top w:type="dxa" w:w="40"/>
              <w:left w:type="dxa" w:w="60"/>
              <w:bottom w:type="dxa" w:w="40"/>
              <w:right w:type="dxa" w:w="60"/>
            </w:tcMar>
            <w:vAlign w:val="top"/>
          </w:tcPr>
          <w:tbl>
            <w:tblPr>
              <w:tblW w:type="dxa" w:w="6200"/>
              <w:tblBorders>
                <w:top w:val="single" w:color="888888" w:sz="4"/>
                <w:left w:val="single" w:color="888888" w:sz="4"/>
                <w:bottom w:val="single" w:color="888888" w:sz="4"/>
                <w:right w:val="single" w:color="888888" w:sz="4"/>
                <w:insideH w:val="single" w:color="888888" w:sz="4"/>
                <w:insideV w:val="single" w:color="888888" w:sz="4"/>
              </w:tblBorders>
            </w:tblPr>
            <w:tblGrid>
              <w:gridCol w:w="1600"/>
              <w:gridCol w:w="4600"/>
            </w:tblGrid>
            <w:tr>
              <w:tc>
                <w:tcPr>
                  <w:tcW w:type="dxa" w:w="1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Low (1-4)</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Acceptable - maintain existing controls and monitor.</w:t>
                  </w:r>
                </w:p>
              </w:tc>
            </w:tr>
            <w:tr>
              <w:tc>
                <w:tcPr>
                  <w:tcW w:type="dxa" w:w="1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Medium (5-9)</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Tolerable - reduce so far as is reasonably practicable.</w:t>
                  </w:r>
                </w:p>
              </w:tc>
            </w:tr>
            <w:tr>
              <w:tc>
                <w:tcPr>
                  <w:tcW w:type="dxa" w:w="1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High (10-15)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Substantial - additional controls required before proceeding.</w:t>
                  </w:r>
                </w:p>
              </w:tc>
            </w:tr>
            <w:tr>
              <w:tc>
                <w:tcPr>
                  <w:tcW w:type="dxa" w:w="16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Very High (16-25)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Intolerable - stop activity; immediate action required.</w:t>
                  </w:r>
                </w:p>
              </w:tc>
            </w:tr>
          </w:tbl>
          <w:p/>
        </w:tc>
      </w:tr>
    </w:tbl>
    <w:p>
      <w:pPr>
        <w:spacing w:after="140"/>
      </w:pPr>
    </w:p>
    <w:p>
      <w:pPr>
        <w:spacing w:after="60" w:before="60"/>
      </w:pPr>
      <w:r>
        <w:rPr>
          <w:rFonts w:ascii="Calibri" w:cs="Calibri" w:eastAsia="Calibri" w:hAnsi="Calibri"/>
          <w:b/>
          <w:bCs/>
          <w:color w:val="06233D"/>
          <w:sz w:val="20"/>
          <w:szCs w:val="20"/>
        </w:rPr>
        <w:t xml:space="preserve">Fire Safety Risk Assessment</w:t>
      </w:r>
    </w:p>
    <w:p>
      <w:pPr>
        <w:spacing w:after="40"/>
      </w:pPr>
      <w:r>
        <w:rPr>
          <w:rFonts w:ascii="Calibri" w:cs="Calibri" w:eastAsia="Calibri" w:hAnsi="Calibri"/>
          <w:i/>
          <w:iCs/>
          <w:color w:val="595959"/>
          <w:sz w:val="14"/>
          <w:szCs w:val="14"/>
        </w:rPr>
        <w:t xml:space="preserve">Initial Risk = risk before / with baseline controls.  Residual Risk = risk once all listed controls are in place.</w:t>
      </w: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700"/>
        <w:gridCol w:w="2600"/>
        <w:gridCol w:w="3000"/>
        <w:gridCol w:w="500"/>
        <w:gridCol w:w="500"/>
        <w:gridCol w:w="600"/>
        <w:gridCol w:w="4200"/>
        <w:gridCol w:w="500"/>
        <w:gridCol w:w="500"/>
        <w:gridCol w:w="600"/>
        <w:gridCol w:w="1500"/>
      </w:tblGrid>
      <w:tr>
        <w:trPr>
          <w:tblHeader/>
        </w:trPr>
        <w:tc>
          <w:tcPr>
            <w:tcW w:type="dxa" w:w="7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Ref</w:t>
            </w:r>
          </w:p>
        </w:tc>
        <w:tc>
          <w:tcPr>
            <w:tcW w:type="dxa" w:w="2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Hazard</w:t>
            </w:r>
          </w:p>
        </w:tc>
        <w:tc>
          <w:tcPr>
            <w:tcW w:type="dxa" w:w="30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Who might be harmed &amp; how</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42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Control measures</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1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Action owner / target</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F1</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Electrical ignition sources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All staff, visitors and contractors - burns, smoke inhalation or fatality from fire originating at faulty, overloaded or misused electrical equipment.</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Fire risk assessment maintained under the Regulatory Reform (Fire Safety) Order 2005</w:t>
            </w:r>
          </w:p>
          <w:p>
            <w:pPr>
              <w:pStyle w:val="ListParagraph"/>
              <w:numPr>
                <w:ilvl w:val="0"/>
                <w:numId w:val="1"/>
              </w:numPr>
              <w:spacing w:after="20" w:line="240"/>
            </w:pPr>
            <w:r>
              <w:rPr>
                <w:rFonts w:ascii="Calibri" w:cs="Calibri" w:eastAsia="Calibri" w:hAnsi="Calibri"/>
                <w:color w:val="1A1A1A"/>
                <w:sz w:val="15"/>
                <w:szCs w:val="15"/>
              </w:rPr>
              <w:t xml:space="preserve">Fixed wiring inspected and tested (EICR) on a 5-year cycle</w:t>
            </w:r>
          </w:p>
          <w:p>
            <w:pPr>
              <w:pStyle w:val="ListParagraph"/>
              <w:numPr>
                <w:ilvl w:val="0"/>
                <w:numId w:val="1"/>
              </w:numPr>
              <w:spacing w:after="20" w:line="240"/>
            </w:pPr>
            <w:r>
              <w:rPr>
                <w:rFonts w:ascii="Calibri" w:cs="Calibri" w:eastAsia="Calibri" w:hAnsi="Calibri"/>
                <w:color w:val="1A1A1A"/>
                <w:sz w:val="15"/>
                <w:szCs w:val="15"/>
              </w:rPr>
              <w:t xml:space="preserve">Portable appliances PAT tested annually</w:t>
            </w:r>
          </w:p>
          <w:p>
            <w:pPr>
              <w:pStyle w:val="ListParagraph"/>
              <w:numPr>
                <w:ilvl w:val="0"/>
                <w:numId w:val="1"/>
              </w:numPr>
              <w:spacing w:after="20" w:line="240"/>
            </w:pPr>
            <w:r>
              <w:rPr>
                <w:rFonts w:ascii="Calibri" w:cs="Calibri" w:eastAsia="Calibri" w:hAnsi="Calibri"/>
                <w:color w:val="1A1A1A"/>
                <w:sz w:val="15"/>
                <w:szCs w:val="15"/>
              </w:rPr>
              <w:t xml:space="preserve">No daisy-chaining of multi-way adaptors; sufficient sockets provided</w:t>
            </w:r>
          </w:p>
          <w:p>
            <w:pPr>
              <w:pStyle w:val="ListParagraph"/>
              <w:numPr>
                <w:ilvl w:val="0"/>
                <w:numId w:val="1"/>
              </w:numPr>
              <w:spacing w:after="20" w:line="240"/>
            </w:pPr>
            <w:r>
              <w:rPr>
                <w:rFonts w:ascii="Calibri" w:cs="Calibri" w:eastAsia="Calibri" w:hAnsi="Calibri"/>
                <w:color w:val="1A1A1A"/>
                <w:sz w:val="15"/>
                <w:szCs w:val="15"/>
              </w:rPr>
              <w:t xml:space="preserve">Heaters and chargers switched off / unplugged when unattended</w:t>
            </w:r>
          </w:p>
          <w:p>
            <w:pPr>
              <w:pStyle w:val="ListParagraph"/>
              <w:numPr>
                <w:ilvl w:val="0"/>
                <w:numId w:val="1"/>
              </w:numPr>
              <w:spacing w:after="20" w:line="240"/>
            </w:pPr>
            <w:r>
              <w:rPr>
                <w:rFonts w:ascii="Calibri" w:cs="Calibri" w:eastAsia="Calibri" w:hAnsi="Calibri"/>
                <w:color w:val="1A1A1A"/>
                <w:sz w:val="15"/>
                <w:szCs w:val="15"/>
              </w:rPr>
              <w:t xml:space="preserve">Damaged equipment removed from use and reported</w:t>
            </w:r>
          </w:p>
          <w:p>
            <w:pPr>
              <w:pStyle w:val="ListParagraph"/>
              <w:numPr>
                <w:ilvl w:val="0"/>
                <w:numId w:val="1"/>
              </w:numPr>
              <w:spacing w:after="20" w:line="240"/>
            </w:pPr>
            <w:r>
              <w:rPr>
                <w:rFonts w:ascii="Calibri" w:cs="Calibri" w:eastAsia="Calibri" w:hAnsi="Calibri"/>
                <w:color w:val="1A1A1A"/>
                <w:sz w:val="15"/>
                <w:szCs w:val="15"/>
              </w:rPr>
              <w:t xml:space="preserve">Introduce logged visual pre-use checks of portable equipment</w:t>
            </w:r>
          </w:p>
          <w:p>
            <w:pPr>
              <w:pStyle w:val="ListParagraph"/>
              <w:numPr>
                <w:ilvl w:val="0"/>
                <w:numId w:val="1"/>
              </w:numPr>
              <w:spacing w:after="20" w:line="240"/>
            </w:pPr>
            <w:r>
              <w:rPr>
                <w:rFonts w:ascii="Calibri" w:cs="Calibri" w:eastAsia="Calibri" w:hAnsi="Calibri"/>
                <w:color w:val="1A1A1A"/>
                <w:sz w:val="15"/>
                <w:szCs w:val="15"/>
              </w:rPr>
              <w:t xml:space="preserve">Prohibit personal heaters unless individually risk assessed</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F2</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Accumulation of combustible materials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All occupants - rapid fire growth and spread from paper, cardboard, packaging and general waste.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Good housekeeping regime maintained throughout</w:t>
            </w:r>
          </w:p>
          <w:p>
            <w:pPr>
              <w:pStyle w:val="ListParagraph"/>
              <w:numPr>
                <w:ilvl w:val="0"/>
                <w:numId w:val="1"/>
              </w:numPr>
              <w:spacing w:after="20" w:line="240"/>
            </w:pPr>
            <w:r>
              <w:rPr>
                <w:rFonts w:ascii="Calibri" w:cs="Calibri" w:eastAsia="Calibri" w:hAnsi="Calibri"/>
                <w:color w:val="1A1A1A"/>
                <w:sz w:val="15"/>
                <w:szCs w:val="15"/>
              </w:rPr>
              <w:t xml:space="preserve">Waste removed daily and not allowed to accumulate</w:t>
            </w:r>
          </w:p>
          <w:p>
            <w:pPr>
              <w:pStyle w:val="ListParagraph"/>
              <w:numPr>
                <w:ilvl w:val="0"/>
                <w:numId w:val="1"/>
              </w:numPr>
              <w:spacing w:after="20" w:line="240"/>
            </w:pPr>
            <w:r>
              <w:rPr>
                <w:rFonts w:ascii="Calibri" w:cs="Calibri" w:eastAsia="Calibri" w:hAnsi="Calibri"/>
                <w:color w:val="1A1A1A"/>
                <w:sz w:val="15"/>
                <w:szCs w:val="15"/>
              </w:rPr>
              <w:t xml:space="preserve">Combustibles stored away from ignition sources and escape routes</w:t>
            </w:r>
          </w:p>
          <w:p>
            <w:pPr>
              <w:pStyle w:val="ListParagraph"/>
              <w:numPr>
                <w:ilvl w:val="0"/>
                <w:numId w:val="1"/>
              </w:numPr>
              <w:spacing w:after="20" w:line="240"/>
            </w:pPr>
            <w:r>
              <w:rPr>
                <w:rFonts w:ascii="Calibri" w:cs="Calibri" w:eastAsia="Calibri" w:hAnsi="Calibri"/>
                <w:color w:val="1A1A1A"/>
                <w:sz w:val="15"/>
                <w:szCs w:val="15"/>
              </w:rPr>
              <w:t xml:space="preserve">Add a housekeeping / fuel-load check to the monthly H&amp;S walk</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F3</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Flammable liquids and aerosols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and cleaning operatives - flash fire and accelerated fire spread from cleaning products, sanitiser and aerosols.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Only small quantities held on site</w:t>
            </w:r>
          </w:p>
          <w:p>
            <w:pPr>
              <w:pStyle w:val="ListParagraph"/>
              <w:numPr>
                <w:ilvl w:val="0"/>
                <w:numId w:val="1"/>
              </w:numPr>
              <w:spacing w:after="20" w:line="240"/>
            </w:pPr>
            <w:r>
              <w:rPr>
                <w:rFonts w:ascii="Calibri" w:cs="Calibri" w:eastAsia="Calibri" w:hAnsi="Calibri"/>
                <w:color w:val="1A1A1A"/>
                <w:sz w:val="15"/>
                <w:szCs w:val="15"/>
              </w:rPr>
              <w:t xml:space="preserve">Stored in a metal cabinet away from ignition sources</w:t>
            </w:r>
          </w:p>
          <w:p>
            <w:pPr>
              <w:pStyle w:val="ListParagraph"/>
              <w:numPr>
                <w:ilvl w:val="0"/>
                <w:numId w:val="1"/>
              </w:numPr>
              <w:spacing w:after="20" w:line="240"/>
            </w:pPr>
            <w:r>
              <w:rPr>
                <w:rFonts w:ascii="Calibri" w:cs="Calibri" w:eastAsia="Calibri" w:hAnsi="Calibri"/>
                <w:color w:val="1A1A1A"/>
                <w:sz w:val="15"/>
                <w:szCs w:val="15"/>
              </w:rPr>
              <w:t xml:space="preserve">COSHH assessed; kept clear of heat sources</w:t>
            </w:r>
          </w:p>
          <w:p>
            <w:pPr>
              <w:pStyle w:val="ListParagraph"/>
              <w:numPr>
                <w:ilvl w:val="0"/>
                <w:numId w:val="1"/>
              </w:numPr>
              <w:spacing w:after="20" w:line="240"/>
            </w:pPr>
            <w:r>
              <w:rPr>
                <w:rFonts w:ascii="Calibri" w:cs="Calibri" w:eastAsia="Calibri" w:hAnsi="Calibri"/>
                <w:color w:val="1A1A1A"/>
                <w:sz w:val="15"/>
                <w:szCs w:val="15"/>
              </w:rPr>
              <w:t xml:space="preserve">Confirm hand-sanitiser stations are sited away from ignition sources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F4</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Means of escape obstructed or inadequate</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All occupants, particularly mobility-impaired persons - entrapment, delayed evacuation or fatality.</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Escape routes and final exits kept clear at all times</w:t>
            </w:r>
          </w:p>
          <w:p>
            <w:pPr>
              <w:pStyle w:val="ListParagraph"/>
              <w:numPr>
                <w:ilvl w:val="0"/>
                <w:numId w:val="1"/>
              </w:numPr>
              <w:spacing w:after="20" w:line="240"/>
            </w:pPr>
            <w:r>
              <w:rPr>
                <w:rFonts w:ascii="Calibri" w:cs="Calibri" w:eastAsia="Calibri" w:hAnsi="Calibri"/>
                <w:color w:val="1A1A1A"/>
                <w:sz w:val="15"/>
                <w:szCs w:val="15"/>
              </w:rPr>
              <w:t xml:space="preserve">Fire doors unobstructed, self-closing and never wedged open</w:t>
            </w:r>
          </w:p>
          <w:p>
            <w:pPr>
              <w:pStyle w:val="ListParagraph"/>
              <w:numPr>
                <w:ilvl w:val="0"/>
                <w:numId w:val="1"/>
              </w:numPr>
              <w:spacing w:after="20" w:line="240"/>
            </w:pPr>
            <w:r>
              <w:rPr>
                <w:rFonts w:ascii="Calibri" w:cs="Calibri" w:eastAsia="Calibri" w:hAnsi="Calibri"/>
                <w:color w:val="1A1A1A"/>
                <w:sz w:val="15"/>
                <w:szCs w:val="15"/>
              </w:rPr>
              <w:t xml:space="preserve">Final exits openable without a key from the inside</w:t>
            </w:r>
          </w:p>
          <w:p>
            <w:pPr>
              <w:pStyle w:val="ListParagraph"/>
              <w:numPr>
                <w:ilvl w:val="0"/>
                <w:numId w:val="1"/>
              </w:numPr>
              <w:spacing w:after="20" w:line="240"/>
            </w:pPr>
            <w:r>
              <w:rPr>
                <w:rFonts w:ascii="Calibri" w:cs="Calibri" w:eastAsia="Calibri" w:hAnsi="Calibri"/>
                <w:color w:val="1A1A1A"/>
                <w:sz w:val="15"/>
                <w:szCs w:val="15"/>
              </w:rPr>
              <w:t xml:space="preserve">Escape signage to BS EN ISO 7010 in place</w:t>
            </w:r>
          </w:p>
          <w:p>
            <w:pPr>
              <w:pStyle w:val="ListParagraph"/>
              <w:numPr>
                <w:ilvl w:val="0"/>
                <w:numId w:val="1"/>
              </w:numPr>
              <w:spacing w:after="20" w:line="240"/>
            </w:pPr>
            <w:r>
              <w:rPr>
                <w:rFonts w:ascii="Calibri" w:cs="Calibri" w:eastAsia="Calibri" w:hAnsi="Calibri"/>
                <w:color w:val="1A1A1A"/>
                <w:sz w:val="15"/>
                <w:szCs w:val="15"/>
              </w:rPr>
              <w:t xml:space="preserve">Introduce a recorded weekly escape-route inspection</w:t>
            </w:r>
          </w:p>
          <w:p>
            <w:pPr>
              <w:pStyle w:val="ListParagraph"/>
              <w:numPr>
                <w:ilvl w:val="0"/>
                <w:numId w:val="1"/>
              </w:numPr>
              <w:spacing w:after="20" w:line="240"/>
            </w:pPr>
            <w:r>
              <w:rPr>
                <w:rFonts w:ascii="Calibri" w:cs="Calibri" w:eastAsia="Calibri" w:hAnsi="Calibri"/>
                <w:color w:val="1A1A1A"/>
                <w:sz w:val="15"/>
                <w:szCs w:val="15"/>
              </w:rPr>
              <w:t xml:space="preserve">Replace any missing or faded escape / exit signage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F5</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Failure to detect fire and warn occupants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All occupants - delayed escape and smoke inhalation if a fire is not detected or the alarm not raised.</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Automatic fire detection and alarm system installed</w:t>
            </w:r>
          </w:p>
          <w:p>
            <w:pPr>
              <w:pStyle w:val="ListParagraph"/>
              <w:numPr>
                <w:ilvl w:val="0"/>
                <w:numId w:val="1"/>
              </w:numPr>
              <w:spacing w:after="20" w:line="240"/>
            </w:pPr>
            <w:r>
              <w:rPr>
                <w:rFonts w:ascii="Calibri" w:cs="Calibri" w:eastAsia="Calibri" w:hAnsi="Calibri"/>
                <w:color w:val="1A1A1A"/>
                <w:sz w:val="15"/>
                <w:szCs w:val="15"/>
              </w:rPr>
              <w:t xml:space="preserve">Weekly alarm test from a rotating call point</w:t>
            </w:r>
          </w:p>
          <w:p>
            <w:pPr>
              <w:pStyle w:val="ListParagraph"/>
              <w:numPr>
                <w:ilvl w:val="0"/>
                <w:numId w:val="1"/>
              </w:numPr>
              <w:spacing w:after="20" w:line="240"/>
            </w:pPr>
            <w:r>
              <w:rPr>
                <w:rFonts w:ascii="Calibri" w:cs="Calibri" w:eastAsia="Calibri" w:hAnsi="Calibri"/>
                <w:color w:val="1A1A1A"/>
                <w:sz w:val="15"/>
                <w:szCs w:val="15"/>
              </w:rPr>
              <w:t xml:space="preserve">System serviced 6-monthly by a competent contractor</w:t>
            </w:r>
          </w:p>
          <w:p>
            <w:pPr>
              <w:pStyle w:val="ListParagraph"/>
              <w:numPr>
                <w:ilvl w:val="0"/>
                <w:numId w:val="1"/>
              </w:numPr>
              <w:spacing w:after="20" w:line="240"/>
            </w:pPr>
            <w:r>
              <w:rPr>
                <w:rFonts w:ascii="Calibri" w:cs="Calibri" w:eastAsia="Calibri" w:hAnsi="Calibri"/>
                <w:color w:val="1A1A1A"/>
                <w:sz w:val="15"/>
                <w:szCs w:val="15"/>
              </w:rPr>
              <w:t xml:space="preserve">Alarm audible throughout the premises</w:t>
            </w:r>
          </w:p>
          <w:p>
            <w:pPr>
              <w:pStyle w:val="ListParagraph"/>
              <w:numPr>
                <w:ilvl w:val="0"/>
                <w:numId w:val="1"/>
              </w:numPr>
              <w:spacing w:after="20" w:line="240"/>
            </w:pPr>
            <w:r>
              <w:rPr>
                <w:rFonts w:ascii="Calibri" w:cs="Calibri" w:eastAsia="Calibri" w:hAnsi="Calibri"/>
                <w:color w:val="1A1A1A"/>
                <w:sz w:val="15"/>
                <w:szCs w:val="15"/>
              </w:rPr>
              <w:t xml:space="preserve">Log all weekly tests and services</w:t>
            </w:r>
          </w:p>
          <w:p>
            <w:pPr>
              <w:pStyle w:val="ListParagraph"/>
              <w:numPr>
                <w:ilvl w:val="0"/>
                <w:numId w:val="1"/>
              </w:numPr>
              <w:spacing w:after="20" w:line="240"/>
            </w:pPr>
            <w:r>
              <w:rPr>
                <w:rFonts w:ascii="Calibri" w:cs="Calibri" w:eastAsia="Calibri" w:hAnsi="Calibri"/>
                <w:color w:val="1A1A1A"/>
                <w:sz w:val="15"/>
                <w:szCs w:val="15"/>
              </w:rPr>
              <w:t xml:space="preserve">Consider a visual alarm / beacon for hearing-impaired persons (see Vulnerable Persons RA)</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F6</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Inadequate firefighting equipment</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attempting first-aid firefighting - burns from using the wrong or a defective extinguisher.</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Correct extinguishers provided (CO2 at electrical risks, water / foam elsewhere)</w:t>
            </w:r>
          </w:p>
          <w:p>
            <w:pPr>
              <w:pStyle w:val="ListParagraph"/>
              <w:numPr>
                <w:ilvl w:val="0"/>
                <w:numId w:val="1"/>
              </w:numPr>
              <w:spacing w:after="20" w:line="240"/>
            </w:pPr>
            <w:r>
              <w:rPr>
                <w:rFonts w:ascii="Calibri" w:cs="Calibri" w:eastAsia="Calibri" w:hAnsi="Calibri"/>
                <w:color w:val="1A1A1A"/>
                <w:sz w:val="15"/>
                <w:szCs w:val="15"/>
              </w:rPr>
              <w:t xml:space="preserve">Sited on escape routes and clearly signed</w:t>
            </w:r>
          </w:p>
          <w:p>
            <w:pPr>
              <w:pStyle w:val="ListParagraph"/>
              <w:numPr>
                <w:ilvl w:val="0"/>
                <w:numId w:val="1"/>
              </w:numPr>
              <w:spacing w:after="20" w:line="240"/>
            </w:pPr>
            <w:r>
              <w:rPr>
                <w:rFonts w:ascii="Calibri" w:cs="Calibri" w:eastAsia="Calibri" w:hAnsi="Calibri"/>
                <w:color w:val="1A1A1A"/>
                <w:sz w:val="15"/>
                <w:szCs w:val="15"/>
              </w:rPr>
              <w:t xml:space="preserve">Serviced annually with a documented monthly visual check</w:t>
            </w:r>
          </w:p>
          <w:p>
            <w:pPr>
              <w:pStyle w:val="ListParagraph"/>
              <w:numPr>
                <w:ilvl w:val="0"/>
                <w:numId w:val="1"/>
              </w:numPr>
              <w:spacing w:after="20" w:line="240"/>
            </w:pPr>
            <w:r>
              <w:rPr>
                <w:rFonts w:ascii="Calibri" w:cs="Calibri" w:eastAsia="Calibri" w:hAnsi="Calibri"/>
                <w:color w:val="1A1A1A"/>
                <w:sz w:val="15"/>
                <w:szCs w:val="15"/>
              </w:rPr>
              <w:t xml:space="preserve">Nominate fire marshals and train them in extinguisher selection and use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F7</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Persons unable to evacuate unaided</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Disabled, mobility-impaired, expectant, lone or new staff and visitors - entrapment during evacuation.</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Fire marshals appointed to sweep and assist</w:t>
            </w:r>
          </w:p>
          <w:p>
            <w:pPr>
              <w:pStyle w:val="ListParagraph"/>
              <w:numPr>
                <w:ilvl w:val="0"/>
                <w:numId w:val="1"/>
              </w:numPr>
              <w:spacing w:after="20" w:line="240"/>
            </w:pPr>
            <w:r>
              <w:rPr>
                <w:rFonts w:ascii="Calibri" w:cs="Calibri" w:eastAsia="Calibri" w:hAnsi="Calibri"/>
                <w:color w:val="1A1A1A"/>
                <w:sz w:val="15"/>
                <w:szCs w:val="15"/>
              </w:rPr>
              <w:t xml:space="preserve">Evacuation procedure displayed; assembly point designated</w:t>
            </w:r>
          </w:p>
          <w:p>
            <w:pPr>
              <w:pStyle w:val="ListParagraph"/>
              <w:numPr>
                <w:ilvl w:val="0"/>
                <w:numId w:val="1"/>
              </w:numPr>
              <w:spacing w:after="20" w:line="240"/>
            </w:pPr>
            <w:r>
              <w:rPr>
                <w:rFonts w:ascii="Calibri" w:cs="Calibri" w:eastAsia="Calibri" w:hAnsi="Calibri"/>
                <w:color w:val="1A1A1A"/>
                <w:sz w:val="15"/>
                <w:szCs w:val="15"/>
              </w:rPr>
              <w:t xml:space="preserve">Visitors signed in and out; escorted where required</w:t>
            </w:r>
          </w:p>
          <w:p>
            <w:pPr>
              <w:pStyle w:val="ListParagraph"/>
              <w:numPr>
                <w:ilvl w:val="0"/>
                <w:numId w:val="1"/>
              </w:numPr>
              <w:spacing w:after="20" w:line="240"/>
            </w:pPr>
            <w:r>
              <w:rPr>
                <w:rFonts w:ascii="Calibri" w:cs="Calibri" w:eastAsia="Calibri" w:hAnsi="Calibri"/>
                <w:color w:val="1A1A1A"/>
                <w:sz w:val="15"/>
                <w:szCs w:val="15"/>
              </w:rPr>
              <w:t xml:space="preserve">Personal Emergency Evacuation Plans (PEEPs) prepared where a need is identified</w:t>
            </w:r>
          </w:p>
          <w:p>
            <w:pPr>
              <w:pStyle w:val="ListParagraph"/>
              <w:numPr>
                <w:ilvl w:val="0"/>
                <w:numId w:val="1"/>
              </w:numPr>
              <w:spacing w:after="20" w:line="240"/>
            </w:pPr>
            <w:r>
              <w:rPr>
                <w:rFonts w:ascii="Calibri" w:cs="Calibri" w:eastAsia="Calibri" w:hAnsi="Calibri"/>
                <w:color w:val="1A1A1A"/>
                <w:sz w:val="15"/>
                <w:szCs w:val="15"/>
              </w:rPr>
              <w:t xml:space="preserve">Complete PEEPs for all identified persons</w:t>
            </w:r>
          </w:p>
          <w:p>
            <w:pPr>
              <w:pStyle w:val="ListParagraph"/>
              <w:numPr>
                <w:ilvl w:val="0"/>
                <w:numId w:val="1"/>
              </w:numPr>
              <w:spacing w:after="20" w:line="240"/>
            </w:pPr>
            <w:r>
              <w:rPr>
                <w:rFonts w:ascii="Calibri" w:cs="Calibri" w:eastAsia="Calibri" w:hAnsi="Calibri"/>
                <w:color w:val="1A1A1A"/>
                <w:sz w:val="15"/>
                <w:szCs w:val="15"/>
              </w:rPr>
              <w:t xml:space="preserve">Run and record a 6-monthly evacuation drill (see Vulnerable Persons RA)</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F8</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Lack of fire safety awareness / training</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All staff - inappropriate response and delayed evacuation through lack of knowledge of the fire procedure.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Fire induction given to all new starters</w:t>
            </w:r>
          </w:p>
          <w:p>
            <w:pPr>
              <w:pStyle w:val="ListParagraph"/>
              <w:numPr>
                <w:ilvl w:val="0"/>
                <w:numId w:val="1"/>
              </w:numPr>
              <w:spacing w:after="20" w:line="240"/>
            </w:pPr>
            <w:r>
              <w:rPr>
                <w:rFonts w:ascii="Calibri" w:cs="Calibri" w:eastAsia="Calibri" w:hAnsi="Calibri"/>
                <w:color w:val="1A1A1A"/>
                <w:sz w:val="15"/>
                <w:szCs w:val="15"/>
              </w:rPr>
              <w:t xml:space="preserve">Annual refresher for all staff</w:t>
            </w:r>
          </w:p>
          <w:p>
            <w:pPr>
              <w:pStyle w:val="ListParagraph"/>
              <w:numPr>
                <w:ilvl w:val="0"/>
                <w:numId w:val="1"/>
              </w:numPr>
              <w:spacing w:after="20" w:line="240"/>
            </w:pPr>
            <w:r>
              <w:rPr>
                <w:rFonts w:ascii="Calibri" w:cs="Calibri" w:eastAsia="Calibri" w:hAnsi="Calibri"/>
                <w:color w:val="1A1A1A"/>
                <w:sz w:val="15"/>
                <w:szCs w:val="15"/>
              </w:rPr>
              <w:t xml:space="preserve">Fire marshals given additional training</w:t>
            </w:r>
          </w:p>
          <w:p>
            <w:pPr>
              <w:pStyle w:val="ListParagraph"/>
              <w:numPr>
                <w:ilvl w:val="0"/>
                <w:numId w:val="1"/>
              </w:numPr>
              <w:spacing w:after="20" w:line="240"/>
            </w:pPr>
            <w:r>
              <w:rPr>
                <w:rFonts w:ascii="Calibri" w:cs="Calibri" w:eastAsia="Calibri" w:hAnsi="Calibri"/>
                <w:color w:val="1A1A1A"/>
                <w:sz w:val="15"/>
                <w:szCs w:val="15"/>
              </w:rPr>
              <w:t xml:space="preserve">Fire action notices displayed on notice boards</w:t>
            </w:r>
          </w:p>
          <w:p>
            <w:pPr>
              <w:pStyle w:val="ListParagraph"/>
              <w:numPr>
                <w:ilvl w:val="0"/>
                <w:numId w:val="1"/>
              </w:numPr>
              <w:spacing w:after="20" w:line="240"/>
            </w:pPr>
            <w:r>
              <w:rPr>
                <w:rFonts w:ascii="Calibri" w:cs="Calibri" w:eastAsia="Calibri" w:hAnsi="Calibri"/>
                <w:color w:val="1A1A1A"/>
                <w:sz w:val="15"/>
                <w:szCs w:val="15"/>
              </w:rPr>
              <w:t xml:space="preserve">Maintain a fire training matrix</w:t>
            </w:r>
          </w:p>
          <w:p>
            <w:pPr>
              <w:pStyle w:val="ListParagraph"/>
              <w:numPr>
                <w:ilvl w:val="0"/>
                <w:numId w:val="1"/>
              </w:numPr>
              <w:spacing w:after="20" w:line="240"/>
            </w:pPr>
            <w:r>
              <w:rPr>
                <w:rFonts w:ascii="Calibri" w:cs="Calibri" w:eastAsia="Calibri" w:hAnsi="Calibri"/>
                <w:color w:val="1A1A1A"/>
                <w:sz w:val="15"/>
                <w:szCs w:val="15"/>
              </w:rPr>
              <w:t xml:space="preserve">Close out actions arising from each drill debrief</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bl>
    <w:p>
      <w:pPr>
        <w:spacing w:before="160"/>
      </w:pPr>
      <w:r>
        <w:rPr>
          <w:rFonts w:ascii="Calibri" w:cs="Calibri" w:eastAsia="Calibri" w:hAnsi="Calibri"/>
          <w:i/>
          <w:iCs/>
          <w:color w:val="595959"/>
          <w:sz w:val="15"/>
          <w:szCs w:val="15"/>
        </w:rPr>
        <w:t xml:space="preserve">This risk assessment must be reviewed within 12 months, following any incident or near miss, on significant change to the premises, staff, equipment or working practices, or where there is reason to believe it is no longer valid.</w:t>
      </w:r>
    </w:p>
    <w:p>
      <w:pPr>
        <w:spacing w:after="40" w:before="1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3800"/>
        <w:gridCol w:w="3800"/>
        <w:gridCol w:w="3800"/>
        <w:gridCol w:w="3800"/>
      </w:tblGrid>
      <w:tr>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Assessed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Reviewed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r>
      <w:tr>
        <w:trPr>
          <w:trHeight w:val="500" w:hRule="atLeast"/>
        </w:trPr>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r>
    </w:tbl>
    <w:sectPr>
      <w:footerReference w:type="default" r:id="rId7"/>
      <w:pgSz w:w="16838" w:h="11906" w:orient="landscape"/>
      <w:pgMar w:top="640" w:right="640" w:bottom="720" w:left="6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15200"/>
      </w:tabs>
      <w:spacing w:before="60"/>
    </w:pPr>
    <w:r>
      <w:rPr>
        <w:rFonts w:ascii="Calibri" w:cs="Calibri" w:eastAsia="Calibri" w:hAnsi="Calibri"/>
        <w:color w:val="595959"/>
        <w:sz w:val="14"/>
        <w:szCs w:val="14"/>
      </w:rPr>
      <w:t xml:space="preserve">[DOC REF]  |  Template provided by AcreditSafe</w:t>
    </w:r>
    <w:r>
      <w:rPr>
        <w:rFonts w:ascii="Calibri" w:cs="Calibri" w:eastAsia="Calibri" w:hAnsi="Calibri"/>
        <w:color w:val="595959"/>
        <w:sz w:val="14"/>
        <w:szCs w:val="14"/>
      </w:rPr>
      <w:t xml:space="preserve">	Page </w:t>
    </w:r>
    <w:r>
      <w:rPr>
        <w:rFonts w:ascii="Calibri" w:cs="Calibri" w:eastAsia="Calibri" w:hAnsi="Calibri"/>
        <w:color w:val="59595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8DFB64-5AD2-4925-AF82-2C50A822C405}"/>
</file>

<file path=customXml/itemProps2.xml><?xml version="1.0" encoding="utf-8"?>
<ds:datastoreItem xmlns:ds="http://schemas.openxmlformats.org/officeDocument/2006/customXml" ds:itemID="{D7D6BF0C-6FF8-4654-A9A7-F381549E151C}"/>
</file>

<file path=customXml/itemProps3.xml><?xml version="1.0" encoding="utf-8"?>
<ds:datastoreItem xmlns:ds="http://schemas.openxmlformats.org/officeDocument/2006/customXml" ds:itemID="{10304CE3-C337-4FA4-99FA-90DCA9C52197}"/>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2026-08-25T17:35:51Z</dcterms:created>
  <dcterms:modified xsi:type="dcterms:W3CDTF">2026-08-25T17:35:51Z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