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Document Control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This procedure outlines the systematic process for managing all essential documentation within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This includes the approval, circulation, issue and updating of key operational documents such as the Health &amp; Safety Policy, quality management documents, risk assessments and core forms vital to the business. The purpose is to ensure consistency, maintain an accurate document control register, and effectively manage both internal and externally sourced documents.</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all documents generated and used by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that are essential for the effective operation and management of the business. This includes management system documentation, procedures and manuals; health and safety documentation (e.g. risk assessments, method statements, COSHH assessments, accident reports); quality documentation; operational procedures; core forms; legal and statutory documents; and relevant external documents such as supplier agreements and customer specifications.</w:t>
      </w:r>
    </w:p>
    <w:p>
      <w:pPr>
        <w:spacing w:after="100" w:before="240"/>
      </w:pPr>
      <w:r>
        <w:rPr>
          <w:rFonts w:ascii="Calibri" w:cs="Calibri" w:eastAsia="Calibri" w:hAnsi="Calibri"/>
          <w:b/>
          <w:bCs/>
          <w:color w:val="06233D"/>
          <w:sz w:val="24"/>
          <w:szCs w:val="24"/>
        </w:rPr>
        <w:t xml:space="preserve">Exclusions</w:t>
      </w:r>
    </w:p>
    <w:p>
      <w:pPr>
        <w:spacing w:after="120" w:line="264"/>
      </w:pPr>
      <w:r>
        <w:rPr>
          <w:rFonts w:ascii="Calibri" w:cs="Calibri" w:eastAsia="Calibri" w:hAnsi="Calibri"/>
          <w:color w:val="1A1A1A"/>
          <w:sz w:val="21"/>
          <w:szCs w:val="21"/>
        </w:rPr>
        <w:t xml:space="preserve">Informal working documents or drafts not intended for formal control, and personal notes or communications not forming part of a controlled record, are excluded from this procedure.</w:t>
      </w:r>
    </w:p>
    <w:p>
      <w:pPr>
        <w:spacing w:after="100" w:before="240"/>
      </w:pPr>
      <w:r>
        <w:rPr>
          <w:rFonts w:ascii="Calibri" w:cs="Calibri" w:eastAsia="Calibri" w:hAnsi="Calibri"/>
          <w:b/>
          <w:bCs/>
          <w:color w:val="06233D"/>
          <w:sz w:val="24"/>
          <w:szCs w:val="24"/>
        </w:rPr>
        <w:t xml:space="preserve">References</w:t>
      </w:r>
    </w:p>
    <w:p>
      <w:pPr>
        <w:pStyle w:val="ListParagraph"/>
        <w:numPr>
          <w:ilvl w:val="0"/>
          <w:numId w:val="2"/>
        </w:numPr>
        <w:spacing w:after="70" w:line="264"/>
      </w:pPr>
      <w:r>
        <w:rPr>
          <w:rFonts w:ascii="Calibri" w:cs="Calibri" w:eastAsia="Calibri" w:hAnsi="Calibri"/>
          <w:color w:val="1A1A1A"/>
          <w:sz w:val="21"/>
          <w:szCs w:val="21"/>
        </w:rPr>
        <w:t xml:space="preserve">The Health and Safety at Work etc. Act 1974.</w:t>
      </w:r>
    </w:p>
    <w:p>
      <w:pPr>
        <w:pStyle w:val="ListParagraph"/>
        <w:numPr>
          <w:ilvl w:val="0"/>
          <w:numId w:val="2"/>
        </w:numPr>
        <w:spacing w:after="70" w:line="264"/>
      </w:pPr>
      <w:r>
        <w:rPr>
          <w:rFonts w:ascii="Calibri" w:cs="Calibri" w:eastAsia="Calibri" w:hAnsi="Calibri"/>
          <w:color w:val="1A1A1A"/>
          <w:sz w:val="21"/>
          <w:szCs w:val="21"/>
        </w:rPr>
        <w:t xml:space="preserve">The Management of Health and Safety at Work Regulations 1999.</w:t>
      </w:r>
    </w:p>
    <w:p>
      <w:pPr>
        <w:pStyle w:val="ListParagraph"/>
        <w:numPr>
          <w:ilvl w:val="0"/>
          <w:numId w:val="2"/>
        </w:numPr>
        <w:spacing w:after="70" w:line="264"/>
      </w:pPr>
      <w:r>
        <w:rPr>
          <w:rFonts w:ascii="Calibri" w:cs="Calibri" w:eastAsia="Calibri" w:hAnsi="Calibri"/>
          <w:color w:val="1A1A1A"/>
          <w:sz w:val="21"/>
          <w:szCs w:val="21"/>
        </w:rPr>
        <w:t xml:space="preserve">Control of Substances Hazardous to Health Regulations 2002 (COSHH).</w:t>
      </w:r>
    </w:p>
    <w:p>
      <w:pPr>
        <w:pStyle w:val="ListParagraph"/>
        <w:numPr>
          <w:ilvl w:val="0"/>
          <w:numId w:val="2"/>
        </w:numPr>
        <w:spacing w:after="70" w:line="264"/>
      </w:pPr>
      <w:r>
        <w:rPr>
          <w:rFonts w:ascii="Calibri" w:cs="Calibri" w:eastAsia="Calibri" w:hAnsi="Calibri"/>
          <w:color w:val="1A1A1A"/>
          <w:sz w:val="21"/>
          <w:szCs w:val="21"/>
        </w:rPr>
        <w:t xml:space="preserve">Data Protection Act 2018 and UK GDPR.</w:t>
      </w:r>
    </w:p>
    <w:p>
      <w:pPr>
        <w:pStyle w:val="ListParagraph"/>
        <w:numPr>
          <w:ilvl w:val="0"/>
          <w:numId w:val="2"/>
        </w:numPr>
        <w:spacing w:after="70" w:line="264"/>
      </w:pPr>
      <w:r>
        <w:rPr>
          <w:rFonts w:ascii="Calibri" w:cs="Calibri" w:eastAsia="Calibri" w:hAnsi="Calibri"/>
          <w:b/>
          <w:bCs/>
          <w:color w:val="C00000"/>
          <w:sz w:val="21"/>
          <w:szCs w:val="21"/>
        </w:rPr>
        <w:t xml:space="preserve">[ADD ANY OTHER STANDARDS RELEVANT TO YOUR BUSINESS - e.g. ISO 9001]</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Managing Director / Senior Management</w:t>
      </w:r>
    </w:p>
    <w:p>
      <w:pPr>
        <w:spacing w:after="120" w:line="264"/>
      </w:pPr>
      <w:r>
        <w:rPr>
          <w:rFonts w:ascii="Calibri" w:cs="Calibri" w:eastAsia="Calibri" w:hAnsi="Calibri"/>
          <w:color w:val="1A1A1A"/>
          <w:sz w:val="21"/>
          <w:szCs w:val="21"/>
        </w:rPr>
        <w:t xml:space="preserve">Maintains ultimate responsibility for this procedure and the overall effectiveness of the document control system. Ensures controlled documents undergo periodic review (at least every three years for procedures, annually for policies), authorises major revisions or new issues, and ensures electronic backups are performed regularly with off-site storage for disaster recovery.</w:t>
      </w:r>
    </w:p>
    <w:p>
      <w:pPr>
        <w:spacing w:after="70" w:before="160"/>
      </w:pPr>
      <w:r>
        <w:rPr>
          <w:rFonts w:ascii="Calibri" w:cs="Calibri" w:eastAsia="Calibri" w:hAnsi="Calibri"/>
          <w:b/>
          <w:bCs/>
          <w:color w:val="06233D"/>
          <w:sz w:val="22"/>
          <w:szCs w:val="22"/>
        </w:rPr>
        <w:t xml:space="preserve">Document Controller / Designated Responsible Person</w:t>
      </w:r>
    </w:p>
    <w:p>
      <w:pPr>
        <w:spacing w:after="120" w:line="264"/>
      </w:pPr>
      <w:r>
        <w:rPr>
          <w:rFonts w:ascii="Calibri" w:cs="Calibri" w:eastAsia="Calibri" w:hAnsi="Calibri"/>
          <w:color w:val="1A1A1A"/>
          <w:sz w:val="21"/>
          <w:szCs w:val="21"/>
        </w:rPr>
        <w:t xml:space="preserve">Manages the day-to-day operation of the procedure, including developing and maintaining the Document Control Register and distribution lists. Ensures personnel have access to and use the current editions of documents, manages client and supplier-issued documentation, and ensures documents are stored securely and retrievably throughout their retention periods.</w:t>
      </w:r>
    </w:p>
    <w:p>
      <w:pPr>
        <w:spacing w:after="70" w:before="160"/>
      </w:pPr>
      <w:r>
        <w:rPr>
          <w:rFonts w:ascii="Calibri" w:cs="Calibri" w:eastAsia="Calibri" w:hAnsi="Calibri"/>
          <w:b/>
          <w:bCs/>
          <w:color w:val="06233D"/>
          <w:sz w:val="22"/>
          <w:szCs w:val="22"/>
        </w:rPr>
        <w:t xml:space="preserve">All Personnel</w:t>
      </w:r>
    </w:p>
    <w:p>
      <w:pPr>
        <w:spacing w:after="120" w:line="264"/>
      </w:pPr>
      <w:r>
        <w:rPr>
          <w:rFonts w:ascii="Calibri" w:cs="Calibri" w:eastAsia="Calibri" w:hAnsi="Calibri"/>
          <w:color w:val="1A1A1A"/>
          <w:sz w:val="21"/>
          <w:szCs w:val="21"/>
        </w:rPr>
        <w:t xml:space="preserve">Responsible for accessing and using only the current approved editions of documents relevant to their work, understanding their purpose and content, and reporting any errors, omissions or improvements to their manager or the Document Controller.</w:t>
      </w:r>
    </w:p>
    <w:p>
      <w:pPr>
        <w:spacing w:after="100" w:before="240"/>
      </w:pPr>
      <w:r>
        <w:rPr>
          <w:rFonts w:ascii="Calibri" w:cs="Calibri" w:eastAsia="Calibri" w:hAnsi="Calibri"/>
          <w:b/>
          <w:bCs/>
          <w:color w:val="06233D"/>
          <w:sz w:val="24"/>
          <w:szCs w:val="24"/>
        </w:rPr>
        <w:t xml:space="preserve">Procedure</w:t>
      </w:r>
    </w:p>
    <w:p>
      <w:pPr>
        <w:spacing w:after="70" w:before="160"/>
      </w:pPr>
      <w:r>
        <w:rPr>
          <w:rFonts w:ascii="Calibri" w:cs="Calibri" w:eastAsia="Calibri" w:hAnsi="Calibri"/>
          <w:b/>
          <w:bCs/>
          <w:color w:val="06233D"/>
          <w:sz w:val="22"/>
          <w:szCs w:val="22"/>
        </w:rPr>
        <w:t xml:space="preserve">Document Development and Approval</w:t>
      </w:r>
    </w:p>
    <w:p>
      <w:pPr>
        <w:spacing w:after="120" w:line="264"/>
      </w:pPr>
      <w:r>
        <w:rPr>
          <w:rFonts w:ascii="Calibri" w:cs="Calibri" w:eastAsia="Calibri" w:hAnsi="Calibri"/>
          <w:color w:val="1A1A1A"/>
          <w:sz w:val="21"/>
          <w:szCs w:val="21"/>
        </w:rPr>
        <w:t xml:space="preserve">A need for a new or revised document is identified. The responsible person drafts it using approved templates. It is reviewed by relevant personnel for accuracy and completeness, then submitted for final authorisation. On approval, each document is assigned a unique identifier and version number and distributed to relevant parties. Printed copies are considered 'uncontrolled' unless explicitly marked as controlled.</w:t>
      </w:r>
    </w:p>
    <w:p>
      <w:pPr>
        <w:spacing w:after="70" w:before="160"/>
      </w:pPr>
      <w:r>
        <w:rPr>
          <w:rFonts w:ascii="Calibri" w:cs="Calibri" w:eastAsia="Calibri" w:hAnsi="Calibri"/>
          <w:b/>
          <w:bCs/>
          <w:color w:val="06233D"/>
          <w:sz w:val="22"/>
          <w:szCs w:val="22"/>
        </w:rPr>
        <w:t xml:space="preserve">Document Storage and Access</w:t>
      </w:r>
    </w:p>
    <w:p>
      <w:pPr>
        <w:spacing w:after="120" w:line="264"/>
      </w:pPr>
      <w:r>
        <w:rPr>
          <w:rFonts w:ascii="Calibri" w:cs="Calibri" w:eastAsia="Calibri" w:hAnsi="Calibri"/>
          <w:color w:val="1A1A1A"/>
          <w:sz w:val="21"/>
          <w:szCs w:val="21"/>
        </w:rPr>
        <w:t xml:space="preserve">All controlled documents are stored in a centralised, secure repository accessible only by authorised personnel. Electronic documents are stored on a secure server with appropriate access controls and regular backups, with a copy stored off-site. Documents are organised logically by type, and access is controlled based on roles to protect sensitive information.</w:t>
      </w:r>
    </w:p>
    <w:p>
      <w:pPr>
        <w:spacing w:after="70" w:before="160"/>
      </w:pPr>
      <w:r>
        <w:rPr>
          <w:rFonts w:ascii="Calibri" w:cs="Calibri" w:eastAsia="Calibri" w:hAnsi="Calibri"/>
          <w:b/>
          <w:bCs/>
          <w:color w:val="06233D"/>
          <w:sz w:val="22"/>
          <w:szCs w:val="22"/>
        </w:rPr>
        <w:t xml:space="preserve">Document Revision and Obsolescence</w:t>
      </w:r>
    </w:p>
    <w:p>
      <w:pPr>
        <w:spacing w:after="120" w:line="264"/>
      </w:pPr>
      <w:r>
        <w:rPr>
          <w:rFonts w:ascii="Calibri" w:cs="Calibri" w:eastAsia="Calibri" w:hAnsi="Calibri"/>
          <w:color w:val="1A1A1A"/>
          <w:sz w:val="21"/>
          <w:szCs w:val="21"/>
        </w:rPr>
        <w:t xml:space="preserve">When a document needs revising, the responsible person initiates a revision request stating the reason. The version number is updated (e.g. 1.0 to 1.1 for minor changes, or 2.0 for significant changes) and a change history maintained. Obsolete documents are clearly marked 'Superseded' or 'Obsolete', removed from active use, and retained in an archive for traceability.</w:t>
      </w:r>
    </w:p>
    <w:p>
      <w:pPr>
        <w:spacing w:after="70" w:before="160"/>
      </w:pPr>
      <w:r>
        <w:rPr>
          <w:rFonts w:ascii="Calibri" w:cs="Calibri" w:eastAsia="Calibri" w:hAnsi="Calibri"/>
          <w:b/>
          <w:bCs/>
          <w:color w:val="06233D"/>
          <w:sz w:val="22"/>
          <w:szCs w:val="22"/>
        </w:rPr>
        <w:t xml:space="preserve">Traceability</w:t>
      </w:r>
    </w:p>
    <w:p>
      <w:pPr>
        <w:spacing w:after="120" w:line="264"/>
      </w:pPr>
      <w:r>
        <w:rPr>
          <w:rFonts w:ascii="Calibri" w:cs="Calibri" w:eastAsia="Calibri" w:hAnsi="Calibri"/>
          <w:color w:val="1A1A1A"/>
          <w:sz w:val="21"/>
          <w:szCs w:val="21"/>
        </w:rPr>
        <w:t xml:space="preserve">A version control system assigns a unique identifier and version number to each document. A detailed record of all changes is maintained, and a centralised Document Control Register tracks all controlled documents, their current version, location and distribution.</w:t>
      </w:r>
    </w:p>
    <w:p>
      <w:pPr>
        <w:spacing w:after="100" w:before="240"/>
      </w:pPr>
      <w:r>
        <w:rPr>
          <w:rFonts w:ascii="Calibri" w:cs="Calibri" w:eastAsia="Calibri" w:hAnsi="Calibri"/>
          <w:b/>
          <w:bCs/>
          <w:color w:val="06233D"/>
          <w:sz w:val="24"/>
          <w:szCs w:val="24"/>
        </w:rPr>
        <w:t xml:space="preserve">Archiving and Retention</w:t>
      </w:r>
    </w:p>
    <w:p>
      <w:pPr>
        <w:spacing w:after="120" w:line="264"/>
      </w:pPr>
      <w:r>
        <w:rPr>
          <w:rFonts w:ascii="Calibri" w:cs="Calibri" w:eastAsia="Calibri" w:hAnsi="Calibri"/>
          <w:color w:val="1A1A1A"/>
          <w:sz w:val="21"/>
          <w:szCs w:val="21"/>
        </w:rPr>
        <w:t xml:space="preserve">Records are retained for periods set by legal requirements and business needs, and disposed of securely. Retention periods should be set for record types such as financial records, personnel records, health and safety files, and waste transfer notes.</w:t>
      </w:r>
    </w:p>
    <w:p>
      <w:pPr>
        <w:spacing w:after="120" w:line="264"/>
      </w:pPr>
      <w:r>
        <w:rPr>
          <w:rFonts w:ascii="Calibri" w:cs="Calibri" w:eastAsia="Calibri" w:hAnsi="Calibri"/>
          <w:b/>
          <w:bCs/>
          <w:color w:val="C00000"/>
          <w:sz w:val="21"/>
          <w:szCs w:val="21"/>
        </w:rPr>
        <w:t xml:space="preserve">[SET YOUR OWN RETENTION PERIODS AND RESPONSIBLE PERSONS FOR EACH RECORD TYPE - seek advice where legal minimums apply, e.g. certain personnel and financial records.]</w:t>
      </w:r>
    </w:p>
    <w:p>
      <w:pPr>
        <w:spacing w:after="100" w:before="240"/>
      </w:pPr>
      <w:r>
        <w:rPr>
          <w:rFonts w:ascii="Calibri" w:cs="Calibri" w:eastAsia="Calibri" w:hAnsi="Calibri"/>
          <w:b/>
          <w:bCs/>
          <w:color w:val="06233D"/>
          <w:sz w:val="24"/>
          <w:szCs w:val="24"/>
        </w:rPr>
        <w:t xml:space="preserve">Management of External Documents</w:t>
      </w:r>
    </w:p>
    <w:p>
      <w:pPr>
        <w:spacing w:after="120" w:line="264"/>
      </w:pPr>
      <w:r>
        <w:rPr>
          <w:rFonts w:ascii="Calibri" w:cs="Calibri" w:eastAsia="Calibri" w:hAnsi="Calibri"/>
          <w:color w:val="1A1A1A"/>
          <w:sz w:val="21"/>
          <w:szCs w:val="21"/>
        </w:rPr>
        <w:t xml:space="preserve">When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receives documents from external parties (e.g. customer specifications, supplier safety data sheets, regulatory updates), they are formally received by the appropriate department, reviewed for completeness and suitability, assigned an internal reference where needed, distributed to relevant personnel, and retained for the period necessary to meet contractual, legal or operational requirements.</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5717CB-9103-4E14-9847-4FEF651E7E8E}"/>
</file>

<file path=customXml/itemProps2.xml><?xml version="1.0" encoding="utf-8"?>
<ds:datastoreItem xmlns:ds="http://schemas.openxmlformats.org/officeDocument/2006/customXml" ds:itemID="{94A1FC4B-5524-449D-9CF4-69C0EA27865F}"/>
</file>

<file path=customXml/itemProps3.xml><?xml version="1.0" encoding="utf-8"?>
<ds:datastoreItem xmlns:ds="http://schemas.openxmlformats.org/officeDocument/2006/customXml" ds:itemID="{1FC32B32-F6BC-4DDA-8587-277B8E2C2555}"/>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2026-08-23T14:49:20Z</dcterms:created>
  <dcterms:modified xsi:type="dcterms:W3CDTF">2026-08-23T14:49:20Z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