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Communication &amp; Consultation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Purpose</w:t>
      </w:r>
    </w:p>
    <w:p>
      <w:pPr>
        <w:spacing w:after="120" w:line="264"/>
      </w:pPr>
      <w:r>
        <w:rPr>
          <w:rFonts w:ascii="Calibri" w:cs="Calibri" w:eastAsia="Calibri" w:hAnsi="Calibri"/>
          <w:color w:val="1A1A1A"/>
          <w:sz w:val="21"/>
          <w:szCs w:val="21"/>
        </w:rPr>
        <w:t xml:space="preserve">This procedure explains how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communicates and consults with employees on health, safety and environmental (HSE) issues. Our goal is to clearly explain safety practices and encourage feedback to improve them.</w:t>
      </w:r>
    </w:p>
    <w:p>
      <w:pPr>
        <w:spacing w:after="100" w:before="240"/>
      </w:pPr>
      <w:r>
        <w:rPr>
          <w:rFonts w:ascii="Calibri" w:cs="Calibri" w:eastAsia="Calibri" w:hAnsi="Calibri"/>
          <w:b/>
          <w:bCs/>
          <w:color w:val="06233D"/>
          <w:sz w:val="24"/>
          <w:szCs w:val="24"/>
        </w:rPr>
        <w:t xml:space="preserve">Scope</w:t>
      </w:r>
    </w:p>
    <w:p>
      <w:pPr>
        <w:pStyle w:val="ListParagraph"/>
        <w:numPr>
          <w:ilvl w:val="0"/>
          <w:numId w:val="2"/>
        </w:numPr>
        <w:spacing w:after="70" w:line="264"/>
      </w:pPr>
      <w:r>
        <w:rPr>
          <w:rFonts w:ascii="Calibri" w:cs="Calibri" w:eastAsia="Calibri" w:hAnsi="Calibri"/>
          <w:color w:val="1A1A1A"/>
          <w:sz w:val="21"/>
          <w:szCs w:val="21"/>
        </w:rPr>
        <w:t xml:space="preserve">All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employees are covered by this procedure, including those based in the office and out on site.</w:t>
      </w:r>
    </w:p>
    <w:p>
      <w:pPr>
        <w:pStyle w:val="ListParagraph"/>
        <w:numPr>
          <w:ilvl w:val="0"/>
          <w:numId w:val="2"/>
        </w:numPr>
        <w:spacing w:after="70" w:line="264"/>
      </w:pPr>
      <w:r>
        <w:rPr>
          <w:rFonts w:ascii="Calibri" w:cs="Calibri" w:eastAsia="Calibri" w:hAnsi="Calibri"/>
          <w:color w:val="1A1A1A"/>
          <w:sz w:val="21"/>
          <w:szCs w:val="21"/>
        </w:rPr>
        <w:t xml:space="preserve">Subcontractors working on our projects are required to participate in our communication and consultation protocols to ensure a unified safety approach.</w:t>
      </w:r>
    </w:p>
    <w:p>
      <w:pPr>
        <w:spacing w:after="100" w:before="240"/>
      </w:pPr>
      <w:r>
        <w:rPr>
          <w:rFonts w:ascii="Calibri" w:cs="Calibri" w:eastAsia="Calibri" w:hAnsi="Calibri"/>
          <w:b/>
          <w:bCs/>
          <w:color w:val="06233D"/>
          <w:sz w:val="24"/>
          <w:szCs w:val="24"/>
        </w:rPr>
        <w:t xml:space="preserve">Compliance</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maintaining a safe and healthy work environment and adheres to the following:</w:t>
      </w:r>
    </w:p>
    <w:p>
      <w:pPr>
        <w:pStyle w:val="ListParagraph"/>
        <w:numPr>
          <w:ilvl w:val="0"/>
          <w:numId w:val="2"/>
        </w:numPr>
        <w:spacing w:after="70" w:line="264"/>
      </w:pPr>
      <w:r>
        <w:rPr>
          <w:rFonts w:ascii="Calibri" w:cs="Calibri" w:eastAsia="Calibri" w:hAnsi="Calibri"/>
          <w:color w:val="1A1A1A"/>
          <w:sz w:val="21"/>
          <w:szCs w:val="21"/>
        </w:rPr>
        <w:t xml:space="preserve">The Health and Safety at Work etc. Act 1974, requiring us to ensure the welfare of employees so far as is reasonably practicable.</w:t>
      </w:r>
    </w:p>
    <w:p>
      <w:pPr>
        <w:pStyle w:val="ListParagraph"/>
        <w:numPr>
          <w:ilvl w:val="0"/>
          <w:numId w:val="2"/>
        </w:numPr>
        <w:spacing w:after="70" w:line="264"/>
      </w:pPr>
      <w:r>
        <w:rPr>
          <w:rFonts w:ascii="Calibri" w:cs="Calibri" w:eastAsia="Calibri" w:hAnsi="Calibri"/>
          <w:color w:val="1A1A1A"/>
          <w:sz w:val="21"/>
          <w:szCs w:val="21"/>
        </w:rPr>
        <w:t xml:space="preserve">The Management of Health and Safety at Work Regulations 1999, outlining our duties on risk assessment, training and employee consultation.</w:t>
      </w:r>
    </w:p>
    <w:p>
      <w:pPr>
        <w:pStyle w:val="ListParagraph"/>
        <w:numPr>
          <w:ilvl w:val="0"/>
          <w:numId w:val="2"/>
        </w:numPr>
        <w:spacing w:after="70" w:line="264"/>
      </w:pPr>
      <w:r>
        <w:rPr>
          <w:rFonts w:ascii="Calibri" w:cs="Calibri" w:eastAsia="Calibri" w:hAnsi="Calibri"/>
          <w:color w:val="1A1A1A"/>
          <w:sz w:val="21"/>
          <w:szCs w:val="21"/>
        </w:rPr>
        <w:t xml:space="preserve">The Building Safety Act 2022 principles, where applicable, to maintain a 'golden thread' of information throughout the project lifecycle.</w:t>
      </w:r>
    </w:p>
    <w:p>
      <w:pPr>
        <w:spacing w:after="100" w:before="240"/>
      </w:pPr>
      <w:r>
        <w:rPr>
          <w:rFonts w:ascii="Calibri" w:cs="Calibri" w:eastAsia="Calibri" w:hAnsi="Calibri"/>
          <w:b/>
          <w:bCs/>
          <w:color w:val="06233D"/>
          <w:sz w:val="24"/>
          <w:szCs w:val="24"/>
        </w:rPr>
        <w:t xml:space="preserve">Responsibilities</w:t>
      </w:r>
    </w:p>
    <w:p>
      <w:pPr>
        <w:pStyle w:val="ListParagraph"/>
        <w:numPr>
          <w:ilvl w:val="0"/>
          <w:numId w:val="2"/>
        </w:numPr>
        <w:spacing w:after="70" w:line="264"/>
      </w:pPr>
      <w:r>
        <w:rPr>
          <w:rFonts w:ascii="Calibri" w:cs="Calibri" w:eastAsia="Calibri" w:hAnsi="Calibri"/>
          <w:color w:val="1A1A1A"/>
          <w:sz w:val="21"/>
          <w:szCs w:val="21"/>
        </w:rPr>
        <w:t xml:space="preserve">Senior management maintains this procedure and ensures compliance with relevant standards and legislation.</w:t>
      </w:r>
    </w:p>
    <w:p>
      <w:pPr>
        <w:pStyle w:val="ListParagraph"/>
        <w:numPr>
          <w:ilvl w:val="0"/>
          <w:numId w:val="2"/>
        </w:numPr>
        <w:spacing w:after="70" w:line="264"/>
      </w:pPr>
      <w:r>
        <w:rPr>
          <w:rFonts w:ascii="Calibri" w:cs="Calibri" w:eastAsia="Calibri" w:hAnsi="Calibri"/>
          <w:color w:val="1A1A1A"/>
          <w:sz w:val="21"/>
          <w:szCs w:val="21"/>
        </w:rPr>
        <w:t xml:space="preserve">Management communicates HSE information to their team and subcontractors, ensuring every worker understands the safety requirements of their role.</w:t>
      </w:r>
    </w:p>
    <w:p>
      <w:pPr>
        <w:pStyle w:val="ListParagraph"/>
        <w:numPr>
          <w:ilvl w:val="0"/>
          <w:numId w:val="2"/>
        </w:numPr>
        <w:spacing w:after="70" w:line="264"/>
      </w:pPr>
      <w:r>
        <w:rPr>
          <w:rFonts w:ascii="Calibri" w:cs="Calibri" w:eastAsia="Calibri" w:hAnsi="Calibri"/>
          <w:color w:val="1A1A1A"/>
          <w:sz w:val="21"/>
          <w:szCs w:val="21"/>
        </w:rPr>
        <w:t xml:space="preserve">All personnel are expected to engage with the consultation process and report any hazards or concerns they identify.</w:t>
      </w:r>
    </w:p>
    <w:p>
      <w:pPr>
        <w:spacing w:after="100" w:before="240"/>
      </w:pPr>
      <w:r>
        <w:rPr>
          <w:rFonts w:ascii="Calibri" w:cs="Calibri" w:eastAsia="Calibri" w:hAnsi="Calibri"/>
          <w:b/>
          <w:bCs/>
          <w:color w:val="06233D"/>
          <w:sz w:val="24"/>
          <w:szCs w:val="24"/>
        </w:rPr>
        <w:t xml:space="preserve">Communication Methods</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uses a variety of approaches to ensure information is clear and consistent:</w:t>
      </w:r>
    </w:p>
    <w:p>
      <w:pPr>
        <w:pStyle w:val="ListParagraph"/>
        <w:numPr>
          <w:ilvl w:val="0"/>
          <w:numId w:val="2"/>
        </w:numPr>
        <w:spacing w:after="70" w:line="264"/>
      </w:pPr>
      <w:r>
        <w:rPr>
          <w:rFonts w:ascii="Calibri" w:cs="Calibri" w:eastAsia="Calibri" w:hAnsi="Calibri"/>
          <w:color w:val="1A1A1A"/>
          <w:sz w:val="21"/>
          <w:szCs w:val="21"/>
        </w:rPr>
        <w:t xml:space="preserve">New employee inductions for all staff and subcontractors, covering site-specific hazards, safe work practices and company policies.</w:t>
      </w:r>
    </w:p>
    <w:p>
      <w:pPr>
        <w:pStyle w:val="ListParagraph"/>
        <w:numPr>
          <w:ilvl w:val="0"/>
          <w:numId w:val="2"/>
        </w:numPr>
        <w:spacing w:after="70" w:line="264"/>
      </w:pPr>
      <w:r>
        <w:rPr>
          <w:rFonts w:ascii="Calibri" w:cs="Calibri" w:eastAsia="Calibri" w:hAnsi="Calibri"/>
          <w:color w:val="1A1A1A"/>
          <w:sz w:val="21"/>
          <w:szCs w:val="21"/>
        </w:rPr>
        <w:t xml:space="preserve">Toolbox talks conducted regularly by supervisors to discuss HSE topics relevant to current activities.</w:t>
      </w:r>
    </w:p>
    <w:p>
      <w:pPr>
        <w:pStyle w:val="ListParagraph"/>
        <w:numPr>
          <w:ilvl w:val="0"/>
          <w:numId w:val="2"/>
        </w:numPr>
        <w:spacing w:after="70" w:line="264"/>
      </w:pPr>
      <w:r>
        <w:rPr>
          <w:rFonts w:ascii="Calibri" w:cs="Calibri" w:eastAsia="Calibri" w:hAnsi="Calibri"/>
          <w:color w:val="1A1A1A"/>
          <w:sz w:val="21"/>
          <w:szCs w:val="21"/>
        </w:rPr>
        <w:t xml:space="preserve">Team briefings used to communicate legislative changes or upcoming safety campaigns.</w:t>
      </w:r>
    </w:p>
    <w:p>
      <w:pPr>
        <w:spacing w:after="70" w:before="160"/>
      </w:pPr>
      <w:r>
        <w:rPr>
          <w:rFonts w:ascii="Calibri" w:cs="Calibri" w:eastAsia="Calibri" w:hAnsi="Calibri"/>
          <w:b/>
          <w:bCs/>
          <w:color w:val="06233D"/>
          <w:sz w:val="22"/>
          <w:szCs w:val="22"/>
        </w:rPr>
        <w:t xml:space="preserve">Safety Alerts: Emergency and Critical Communication</w:t>
      </w:r>
    </w:p>
    <w:p>
      <w:pPr>
        <w:pStyle w:val="ListParagraph"/>
        <w:numPr>
          <w:ilvl w:val="0"/>
          <w:numId w:val="2"/>
        </w:numPr>
        <w:spacing w:after="70" w:line="264"/>
      </w:pPr>
      <w:r>
        <w:rPr>
          <w:rFonts w:ascii="Calibri" w:cs="Calibri" w:eastAsia="Calibri" w:hAnsi="Calibri"/>
          <w:color w:val="1A1A1A"/>
          <w:sz w:val="21"/>
          <w:szCs w:val="21"/>
        </w:rPr>
        <w:t xml:space="preserve">Formal alerts issued via email or hard copy to address urgent safety concerns arising from internal incidents, accidents or near misses.</w:t>
      </w:r>
    </w:p>
    <w:p>
      <w:pPr>
        <w:pStyle w:val="ListParagraph"/>
        <w:numPr>
          <w:ilvl w:val="0"/>
          <w:numId w:val="2"/>
        </w:numPr>
        <w:spacing w:after="70" w:line="264"/>
      </w:pPr>
      <w:r>
        <w:rPr>
          <w:rFonts w:ascii="Calibri" w:cs="Calibri" w:eastAsia="Calibri" w:hAnsi="Calibri"/>
          <w:color w:val="1A1A1A"/>
          <w:sz w:val="21"/>
          <w:szCs w:val="21"/>
        </w:rPr>
        <w:t xml:space="preserve">Management ensures all relevant personnel are briefed on the alert in a timely and documented manner.</w:t>
      </w:r>
    </w:p>
    <w:p>
      <w:pPr>
        <w:pStyle w:val="ListParagraph"/>
        <w:numPr>
          <w:ilvl w:val="0"/>
          <w:numId w:val="2"/>
        </w:numPr>
        <w:spacing w:after="70" w:line="264"/>
      </w:pPr>
      <w:r>
        <w:rPr>
          <w:rFonts w:ascii="Calibri" w:cs="Calibri" w:eastAsia="Calibri" w:hAnsi="Calibri"/>
          <w:color w:val="1A1A1A"/>
          <w:sz w:val="21"/>
          <w:szCs w:val="21"/>
        </w:rPr>
        <w:t xml:space="preserve">Wider distribution used where an alert requires immediate, broad awareness across multiple sites.</w:t>
      </w:r>
    </w:p>
    <w:p>
      <w:pPr>
        <w:pStyle w:val="ListParagraph"/>
        <w:numPr>
          <w:ilvl w:val="0"/>
          <w:numId w:val="2"/>
        </w:numPr>
        <w:spacing w:after="70" w:line="264"/>
      </w:pPr>
      <w:r>
        <w:rPr>
          <w:rFonts w:ascii="Calibri" w:cs="Calibri" w:eastAsia="Calibri" w:hAnsi="Calibri"/>
          <w:color w:val="1A1A1A"/>
          <w:sz w:val="21"/>
          <w:szCs w:val="21"/>
        </w:rPr>
        <w:t xml:space="preserve">Supervisors provide the opportunity for feedback during briefings, allowing staff to raise concerns.</w:t>
      </w:r>
    </w:p>
    <w:p>
      <w:pPr>
        <w:pStyle w:val="ListParagraph"/>
        <w:numPr>
          <w:ilvl w:val="0"/>
          <w:numId w:val="2"/>
        </w:numPr>
        <w:spacing w:after="70" w:line="264"/>
      </w:pPr>
      <w:r>
        <w:rPr>
          <w:rFonts w:ascii="Calibri" w:cs="Calibri" w:eastAsia="Calibri" w:hAnsi="Calibri"/>
          <w:color w:val="1A1A1A"/>
          <w:sz w:val="21"/>
          <w:szCs w:val="21"/>
        </w:rPr>
        <w:t xml:space="preserve">Records maintained of all issued alerts, with workforce awareness verified during site inspections.</w:t>
      </w:r>
    </w:p>
    <w:p>
      <w:pPr>
        <w:spacing w:after="70" w:before="160"/>
      </w:pPr>
      <w:r>
        <w:rPr>
          <w:rFonts w:ascii="Calibri" w:cs="Calibri" w:eastAsia="Calibri" w:hAnsi="Calibri"/>
          <w:b/>
          <w:bCs/>
          <w:color w:val="06233D"/>
          <w:sz w:val="22"/>
          <w:szCs w:val="22"/>
        </w:rPr>
        <w:t xml:space="preserve">Reporting Hazards and Concerns</w:t>
      </w:r>
    </w:p>
    <w:p>
      <w:pPr>
        <w:spacing w:after="120" w:line="264"/>
      </w:pPr>
      <w:r>
        <w:rPr>
          <w:rFonts w:ascii="Calibri" w:cs="Calibri" w:eastAsia="Calibri" w:hAnsi="Calibri"/>
          <w:color w:val="1A1A1A"/>
          <w:sz w:val="21"/>
          <w:szCs w:val="21"/>
        </w:rPr>
        <w:t xml:space="preserve">We encourage the reporting of any unsafe work practices, and provide several ways to raise concerns:</w:t>
      </w:r>
    </w:p>
    <w:p>
      <w:pPr>
        <w:pStyle w:val="ListParagraph"/>
        <w:numPr>
          <w:ilvl w:val="0"/>
          <w:numId w:val="2"/>
        </w:numPr>
        <w:spacing w:after="70" w:line="264"/>
      </w:pPr>
      <w:r>
        <w:rPr>
          <w:rFonts w:ascii="Calibri" w:cs="Calibri" w:eastAsia="Calibri" w:hAnsi="Calibri"/>
          <w:color w:val="1A1A1A"/>
          <w:sz w:val="21"/>
          <w:szCs w:val="21"/>
        </w:rPr>
        <w:t xml:space="preserve">Direct discussion with a supervisor or manager for immediate verbal reporting.</w:t>
      </w:r>
    </w:p>
    <w:p>
      <w:pPr>
        <w:pStyle w:val="ListParagraph"/>
        <w:numPr>
          <w:ilvl w:val="0"/>
          <w:numId w:val="2"/>
        </w:numPr>
        <w:spacing w:after="70" w:line="264"/>
      </w:pPr>
      <w:r>
        <w:rPr>
          <w:rFonts w:ascii="Calibri" w:cs="Calibri" w:eastAsia="Calibri" w:hAnsi="Calibri"/>
          <w:color w:val="1A1A1A"/>
          <w:sz w:val="21"/>
          <w:szCs w:val="21"/>
        </w:rPr>
        <w:t xml:space="preserve">Written reports submitted to the health and safety function for a formal record.</w:t>
      </w:r>
    </w:p>
    <w:p>
      <w:pPr>
        <w:pStyle w:val="ListParagraph"/>
        <w:numPr>
          <w:ilvl w:val="0"/>
          <w:numId w:val="2"/>
        </w:numPr>
        <w:spacing w:after="70" w:line="264"/>
      </w:pPr>
      <w:r>
        <w:rPr>
          <w:rFonts w:ascii="Calibri" w:cs="Calibri" w:eastAsia="Calibri" w:hAnsi="Calibri"/>
          <w:color w:val="1A1A1A"/>
          <w:sz w:val="21"/>
          <w:szCs w:val="21"/>
        </w:rPr>
        <w:t xml:space="preserve">Anonymous reporting options so workers feel safe to speak up.</w:t>
      </w:r>
    </w:p>
    <w:p>
      <w:pPr>
        <w:pStyle w:val="ListParagraph"/>
        <w:numPr>
          <w:ilvl w:val="0"/>
          <w:numId w:val="2"/>
        </w:numPr>
        <w:spacing w:after="70" w:line="264"/>
      </w:pPr>
      <w:r>
        <w:rPr>
          <w:rFonts w:ascii="Calibri" w:cs="Calibri" w:eastAsia="Calibri" w:hAnsi="Calibri"/>
          <w:color w:val="1A1A1A"/>
          <w:sz w:val="21"/>
          <w:szCs w:val="21"/>
        </w:rPr>
        <w:t xml:space="preserve">Feedback records from briefings for review by management.</w:t>
      </w:r>
    </w:p>
    <w:p>
      <w:pPr>
        <w:spacing w:after="100" w:before="240"/>
      </w:pPr>
      <w:r>
        <w:rPr>
          <w:rFonts w:ascii="Calibri" w:cs="Calibri" w:eastAsia="Calibri" w:hAnsi="Calibri"/>
          <w:b/>
          <w:bCs/>
          <w:color w:val="06233D"/>
          <w:sz w:val="24"/>
          <w:szCs w:val="24"/>
        </w:rPr>
        <w:t xml:space="preserve">Record Keeping</w:t>
      </w:r>
    </w:p>
    <w:p>
      <w:pPr>
        <w:pStyle w:val="ListParagraph"/>
        <w:numPr>
          <w:ilvl w:val="0"/>
          <w:numId w:val="2"/>
        </w:numPr>
        <w:spacing w:after="70" w:line="264"/>
      </w:pPr>
      <w:r>
        <w:rPr>
          <w:rFonts w:ascii="Calibri" w:cs="Calibri" w:eastAsia="Calibri" w:hAnsi="Calibri"/>
          <w:color w:val="1A1A1A"/>
          <w:sz w:val="21"/>
          <w:szCs w:val="21"/>
        </w:rPr>
        <w:t xml:space="preserve">Management keeps detailed records of all toolbox talks, site inspections and reported concerns.</w:t>
      </w:r>
    </w:p>
    <w:p>
      <w:pPr>
        <w:pStyle w:val="ListParagraph"/>
        <w:numPr>
          <w:ilvl w:val="0"/>
          <w:numId w:val="2"/>
        </w:numPr>
        <w:spacing w:after="70" w:line="264"/>
      </w:pPr>
      <w:r>
        <w:rPr>
          <w:rFonts w:ascii="Calibri" w:cs="Calibri" w:eastAsia="Calibri" w:hAnsi="Calibri"/>
          <w:color w:val="1A1A1A"/>
          <w:sz w:val="21"/>
          <w:szCs w:val="21"/>
        </w:rPr>
        <w:t xml:space="preserve">These records are maintained to help identify trends and improvements over time.</w:t>
      </w:r>
    </w:p>
    <w:p>
      <w:pPr>
        <w:spacing w:after="100" w:before="240"/>
      </w:pPr>
      <w:r>
        <w:rPr>
          <w:rFonts w:ascii="Calibri" w:cs="Calibri" w:eastAsia="Calibri" w:hAnsi="Calibri"/>
          <w:b/>
          <w:bCs/>
          <w:color w:val="06233D"/>
          <w:sz w:val="24"/>
          <w:szCs w:val="24"/>
        </w:rPr>
        <w:t xml:space="preserve">Benefits of Good Communication</w:t>
      </w:r>
    </w:p>
    <w:p>
      <w:pPr>
        <w:pStyle w:val="ListParagraph"/>
        <w:numPr>
          <w:ilvl w:val="0"/>
          <w:numId w:val="2"/>
        </w:numPr>
        <w:spacing w:after="70" w:line="264"/>
      </w:pPr>
      <w:r>
        <w:rPr>
          <w:rFonts w:ascii="Calibri" w:cs="Calibri" w:eastAsia="Calibri" w:hAnsi="Calibri"/>
          <w:color w:val="1A1A1A"/>
          <w:sz w:val="21"/>
          <w:szCs w:val="21"/>
        </w:rPr>
        <w:t xml:space="preserve">Improved communication leads to a safer and healthier work environment.</w:t>
      </w:r>
    </w:p>
    <w:p>
      <w:pPr>
        <w:pStyle w:val="ListParagraph"/>
        <w:numPr>
          <w:ilvl w:val="0"/>
          <w:numId w:val="2"/>
        </w:numPr>
        <w:spacing w:after="70" w:line="264"/>
      </w:pPr>
      <w:r>
        <w:rPr>
          <w:rFonts w:ascii="Calibri" w:cs="Calibri" w:eastAsia="Calibri" w:hAnsi="Calibri"/>
          <w:color w:val="1A1A1A"/>
          <w:sz w:val="21"/>
          <w:szCs w:val="21"/>
        </w:rPr>
        <w:t xml:space="preserve">Employee participation helps identify and address potential hazards.</w:t>
      </w:r>
    </w:p>
    <w:p>
      <w:pPr>
        <w:pStyle w:val="ListParagraph"/>
        <w:numPr>
          <w:ilvl w:val="0"/>
          <w:numId w:val="2"/>
        </w:numPr>
        <w:spacing w:after="70" w:line="264"/>
      </w:pPr>
      <w:r>
        <w:rPr>
          <w:rFonts w:ascii="Calibri" w:cs="Calibri" w:eastAsia="Calibri" w:hAnsi="Calibri"/>
          <w:color w:val="1A1A1A"/>
          <w:sz w:val="21"/>
          <w:szCs w:val="21"/>
        </w:rPr>
        <w:t xml:space="preserve">Open communication builds trust and morale, ensuring the team feels valued and protected.</w:t>
      </w:r>
    </w:p>
    <w:p>
      <w:pPr>
        <w:spacing w:after="100" w:before="240"/>
      </w:pPr>
      <w:r>
        <w:rPr>
          <w:rFonts w:ascii="Calibri" w:cs="Calibri" w:eastAsia="Calibri" w:hAnsi="Calibri"/>
          <w:b/>
          <w:bCs/>
          <w:color w:val="06233D"/>
          <w:sz w:val="24"/>
          <w:szCs w:val="24"/>
        </w:rPr>
        <w:t xml:space="preserve">General Communication and Consultation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believes in a culture of open communication that extends beyond health and safety. Staff meetings are held regularly at company or department level to discuss progress and upcoming events, giving employees the opportunity to share ideas and contribute to the business. Two-way communication ensures every team member has a voice.</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275959-0DA1-45A8-BE30-E931124FE507}"/>
</file>

<file path=customXml/itemProps2.xml><?xml version="1.0" encoding="utf-8"?>
<ds:datastoreItem xmlns:ds="http://schemas.openxmlformats.org/officeDocument/2006/customXml" ds:itemID="{DBDE0E09-78FB-4D20-BD64-EF6740A84C3A}"/>
</file>

<file path=customXml/itemProps3.xml><?xml version="1.0" encoding="utf-8"?>
<ds:datastoreItem xmlns:ds="http://schemas.openxmlformats.org/officeDocument/2006/customXml" ds:itemID="{4838B689-0358-42EC-A8D3-3DE010C6077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