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700"/>
        <w:gridCol w:w="4300"/>
        <w:gridCol w:w="3300"/>
      </w:tblGrid>
      <w:tr>
        <w:tc>
          <w:tcPr>
            <w:tcW w:type="dxa" w:w="17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3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30"/>
                <w:szCs w:val="30"/>
              </w:rPr>
              <w:t xml:space="preserve">Code of Conduct &amp; Ethics Policy</w:t>
            </w:r>
          </w:p>
        </w:tc>
        <w:tc>
          <w:tcPr>
            <w:tcW w:type="dxa" w:w="33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3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400"/>
              <w:gridCol w:w="1900"/>
            </w:tblGrid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4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Introduction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This Code of Conduct and Ethics outlines the ethical and social principles that guide all business activities of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. We are committed to conducting our business in a responsible and sustainable manner, respecting human rights, and upholding the highest ethical standards throughout our operations and supply chain.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Scope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This Code of Conduct and Ethics applies to all employees, directors, contractors and any other individuals acting on behalf of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, including: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Employees at all levels, including full-time, part-time, temporary and seasonal workers.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Directors of the company.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Independent contractors and consultants engaged by the company.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Representatives of the company at trade shows, conferences and other business events.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Any other individual acting on behalf of the company, whether within or outside the company's premises.</w:t>
      </w: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It also applies to all business relationships of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, including relationships with suppliers and vendors, customers and clients, business partners and collaborators, and competitors.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1. Ethical Conduct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conduct all business activities with honesty, integrity and transparency.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Bribery, extortion and any other form of corruption are strictly prohibited, including the offering or acceptance of any 'kickbacks' or inappropriate gifts.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All business practices will comply with applicable competition laws and regulations.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respect the intellectual property rights of others.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Employees are expected to avoid any situations that may create a conflict of interest, and any potential conflict must be disclosed immediately to a director.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2. Human Rights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is committed to a workplace free from discrimination based on race, religion, gender, sexual orientation, age, disability, or any other protected characteristic under the Equality Act 2010.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Forced labour, child labour and human trafficking are strictly prohibited.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is committed to providing a safe and healthy working environment for all employees.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Employees will be paid fair wages and provided with appropriate benefits in accordance with the law.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Employees have the right to freedom of association and to collective bargaining.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3. Environmental Protection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implement and maintain arrangements to minimise its environmental impact.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strive to conserve natural resources, such as water and energy.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minimise waste generation and promote waste reduction, recycling and reuse.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The use of harmful chemicals will be minimised and replaced with safer alternatives wherever possible.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4. Compliance and Monitoring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ensure compliance with all applicable laws, regulations and industry standards.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Regular internal and external audits will be conducted to assess compliance with this Code.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Corrective and preventive actions will be taken to address any identified non-conformances. Failure to comply may lead to disciplinary action or termination of business contracts.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will engage with stakeholders - including employees, customers, suppliers and the community - to promote ethical and sustainable business practices.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06233D"/>
          <w:sz w:val="24"/>
          <w:szCs w:val="24"/>
        </w:rPr>
        <w:t xml:space="preserve">5. Grievance Mechanism</w:t>
      </w:r>
    </w:p>
    <w:p>
      <w:pPr>
        <w:spacing w:after="120" w:line="264"/>
      </w:pP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[COMPANY NAME]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has established a clear and accessible grievance mechanism for employees to raise concerns or complaints related to this Code of Conduct and Ethics without fear of retaliation.</w:t>
      </w:r>
    </w:p>
    <w:p>
      <w:pPr>
        <w:pBdr>
          <w:top w:val="single" w:color="CAE8FF" w:sz="12"/>
        </w:pBdr>
        <w:spacing w:after="120" w:before="280"/>
      </w:pPr>
    </w:p>
    <w:p>
      <w:pPr>
        <w:spacing w:after="120" w:line="264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Signed: ......................................................    Date: ........................</w:t>
      </w:r>
    </w:p>
    <w:p>
      <w:pPr>
        <w:spacing w:before="6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Name: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[NAME]</w:t>
      </w:r>
    </w:p>
    <w:p>
      <w:pPr>
        <w:spacing w:before="2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Position: </w:t>
      </w:r>
      <w:r>
        <w:rPr>
          <w:rFonts w:ascii="Calibri" w:cs="Calibri" w:eastAsia="Calibri" w:hAnsi="Calibri"/>
          <w:b/>
          <w:bCs/>
          <w:color w:val="C00000"/>
          <w:sz w:val="21"/>
          <w:szCs w:val="21"/>
        </w:rPr>
        <w:t xml:space="preserve">[POSITION - e.g. Managing Director]</w:t>
      </w:r>
    </w:p>
    <w:sectPr>
      <w:footerReference w:type="default" r:id="rId7"/>
      <w:pgSz w:w="11906" w:h="16838" w:orient="portrait"/>
      <w:pgMar w:top="72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C5445C-0B68-4230-B995-526566065E61}"/>
</file>

<file path=customXml/itemProps2.xml><?xml version="1.0" encoding="utf-8"?>
<ds:datastoreItem xmlns:ds="http://schemas.openxmlformats.org/officeDocument/2006/customXml" ds:itemID="{DC1A98B7-DE61-481C-8FF9-172F0F425050}"/>
</file>

<file path=customXml/itemProps3.xml><?xml version="1.0" encoding="utf-8"?>
<ds:datastoreItem xmlns:ds="http://schemas.openxmlformats.org/officeDocument/2006/customXml" ds:itemID="{02F33B2F-E21C-4B15-B033-2CDF50AC528A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2026-08-25T17:18:32Z</dcterms:created>
  <dcterms:modified xsi:type="dcterms:W3CDTF">2026-08-25T17:18:32Z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