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oter1.xml" ContentType="application/vnd.openxmlformats-officedocument.wordprocessingml.footer+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endnotes.xml" ContentType="application/vnd.openxmlformats-officedocument.wordprocessingml.end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00"/>
        <w:tblBorders>
          <w:top w:val="single" w:color="06233D" w:sz="6"/>
          <w:left w:val="single" w:color="06233D" w:sz="6"/>
          <w:bottom w:val="single" w:color="06233D" w:sz="6"/>
          <w:right w:val="single" w:color="06233D" w:sz="6"/>
          <w:insideH w:val="single" w:color="06233D" w:sz="6"/>
          <w:insideV w:val="single" w:color="06233D" w:sz="6"/>
        </w:tblBorders>
      </w:tblPr>
      <w:tblGrid>
        <w:gridCol w:w="1700"/>
        <w:gridCol w:w="4300"/>
        <w:gridCol w:w="3300"/>
      </w:tblGrid>
      <w:tr>
        <w:tc>
          <w:tcPr>
            <w:tcW w:type="dxa" w:w="1700"/>
            <w:tcMar>
              <w:top w:type="dxa" w:w="60"/>
              <w:left w:type="dxa" w:w="80"/>
              <w:bottom w:type="dxa" w:w="60"/>
              <w:right w:type="dxa" w:w="80"/>
            </w:tcMar>
            <w:vAlign w:val="center"/>
          </w:tcPr>
          <w:p>
            <w:pPr>
              <w:jc w:val="center"/>
            </w:pPr>
            <w:r>
              <w:rPr>
                <w:rFonts w:ascii="Calibri" w:cs="Calibri" w:eastAsia="Calibri" w:hAnsi="Calibri"/>
                <w:b/>
                <w:bCs/>
                <w:color w:val="C00000"/>
                <w:sz w:val="20"/>
                <w:szCs w:val="20"/>
              </w:rPr>
              <w:t xml:space="preserve">[LOGO]</w:t>
            </w:r>
          </w:p>
        </w:tc>
        <w:tc>
          <w:tcPr>
            <w:tcW w:type="dxa" w:w="4300"/>
            <w:tcMar>
              <w:top w:type="dxa" w:w="60"/>
              <w:left w:type="dxa" w:w="120"/>
              <w:bottom w:type="dxa" w:w="60"/>
              <w:right w:type="dxa" w:w="120"/>
            </w:tcMar>
            <w:vAlign w:val="center"/>
          </w:tcPr>
          <w:p>
            <w:r>
              <w:rPr>
                <w:rFonts w:ascii="Calibri" w:cs="Calibri" w:eastAsia="Calibri" w:hAnsi="Calibri"/>
                <w:b/>
                <w:bCs/>
                <w:color w:val="06233D"/>
                <w:sz w:val="30"/>
                <w:szCs w:val="30"/>
              </w:rPr>
              <w:t xml:space="preserve">Accident &amp; Incident Investigation Procedure</w:t>
            </w:r>
          </w:p>
        </w:tc>
        <w:tc>
          <w:tcPr>
            <w:tcW w:type="dxa" w:w="3300"/>
            <w:tcMar>
              <w:top w:type="dxa" w:w="40"/>
              <w:left w:type="dxa" w:w="40"/>
              <w:bottom w:type="dxa" w:w="40"/>
              <w:right w:type="dxa" w:w="40"/>
            </w:tcMar>
            <w:vAlign w:val="center"/>
          </w:tcPr>
          <w:tbl>
            <w:tblPr>
              <w:tblW w:type="dxa" w:w="3300"/>
              <w:tblBorders>
                <w:top w:val="single" w:color="CAE8FF" w:sz="6"/>
                <w:left w:val="single" w:color="CAE8FF" w:sz="6"/>
                <w:bottom w:val="single" w:color="CAE8FF" w:sz="6"/>
                <w:right w:val="single" w:color="CAE8FF" w:sz="6"/>
                <w:insideH w:val="single" w:color="CAE8FF" w:sz="6"/>
                <w:insideV w:val="single" w:color="CAE8FF" w:sz="6"/>
              </w:tblBorders>
            </w:tblPr>
            <w:tblGrid>
              <w:gridCol w:w="1400"/>
              <w:gridCol w:w="1900"/>
            </w:tblGrid>
            <w:tr>
              <w:tc>
                <w:tcPr>
                  <w:tcW w:type="dxa" w:w="1400"/>
                  <w:shd w:fill="F4F6FC" w:color="auto" w:val="clear"/>
                  <w:tcMar>
                    <w:top w:type="dxa" w:w="30"/>
                    <w:left w:type="dxa" w:w="80"/>
                    <w:bottom w:type="dxa" w:w="30"/>
                    <w:right w:type="dxa" w:w="80"/>
                  </w:tcMar>
                </w:tcPr>
                <w:p>
                  <w:r>
                    <w:rPr>
                      <w:rFonts w:ascii="Calibri" w:cs="Calibri" w:eastAsia="Calibri" w:hAnsi="Calibri"/>
                      <w:color w:val="595959"/>
                      <w:sz w:val="16"/>
                      <w:szCs w:val="16"/>
                    </w:rPr>
                    <w:t xml:space="preserve">Reference</w:t>
                  </w:r>
                </w:p>
              </w:tc>
              <w:tc>
                <w:tcPr>
                  <w:tcW w:type="dxa" w:w="1900"/>
                  <w:tcMar>
                    <w:top w:type="dxa" w:w="30"/>
                    <w:left w:type="dxa" w:w="80"/>
                    <w:bottom w:type="dxa" w:w="30"/>
                    <w:right w:type="dxa" w:w="80"/>
                  </w:tcMar>
                </w:tcPr>
                <w:p>
                  <w:r>
                    <w:rPr>
                      <w:rFonts w:ascii="Calibri" w:cs="Calibri" w:eastAsia="Calibri" w:hAnsi="Calibri"/>
                      <w:b/>
                      <w:bCs/>
                      <w:color w:val="C00000"/>
                      <w:sz w:val="16"/>
                      <w:szCs w:val="16"/>
                    </w:rPr>
                    <w:t xml:space="preserve">[DOC REF]</w:t>
                  </w:r>
                </w:p>
              </w:tc>
            </w:tr>
            <w:tr>
              <w:tc>
                <w:tcPr>
                  <w:tcW w:type="dxa" w:w="1400"/>
                  <w:shd w:fill="F4F6FC" w:color="auto" w:val="clear"/>
                  <w:tcMar>
                    <w:top w:type="dxa" w:w="30"/>
                    <w:left w:type="dxa" w:w="80"/>
                    <w:bottom w:type="dxa" w:w="30"/>
                    <w:right w:type="dxa" w:w="80"/>
                  </w:tcMar>
                </w:tcPr>
                <w:p>
                  <w:r>
                    <w:rPr>
                      <w:rFonts w:ascii="Calibri" w:cs="Calibri" w:eastAsia="Calibri" w:hAnsi="Calibri"/>
                      <w:color w:val="595959"/>
                      <w:sz w:val="16"/>
                      <w:szCs w:val="16"/>
                    </w:rPr>
                    <w:t xml:space="preserve">Revision</w:t>
                  </w:r>
                </w:p>
              </w:tc>
              <w:tc>
                <w:tcPr>
                  <w:tcW w:type="dxa" w:w="1900"/>
                  <w:tcMar>
                    <w:top w:type="dxa" w:w="30"/>
                    <w:left w:type="dxa" w:w="80"/>
                    <w:bottom w:type="dxa" w:w="30"/>
                    <w:right w:type="dxa" w:w="80"/>
                  </w:tcMar>
                </w:tcPr>
                <w:p>
                  <w:r>
                    <w:rPr>
                      <w:rFonts w:ascii="Calibri" w:cs="Calibri" w:eastAsia="Calibri" w:hAnsi="Calibri"/>
                      <w:b/>
                      <w:bCs/>
                      <w:color w:val="C00000"/>
                      <w:sz w:val="16"/>
                      <w:szCs w:val="16"/>
                    </w:rPr>
                    <w:t xml:space="preserve">[REV]</w:t>
                  </w:r>
                </w:p>
              </w:tc>
            </w:tr>
            <w:tr>
              <w:tc>
                <w:tcPr>
                  <w:tcW w:type="dxa" w:w="1400"/>
                  <w:shd w:fill="F4F6FC" w:color="auto" w:val="clear"/>
                  <w:tcMar>
                    <w:top w:type="dxa" w:w="30"/>
                    <w:left w:type="dxa" w:w="80"/>
                    <w:bottom w:type="dxa" w:w="30"/>
                    <w:right w:type="dxa" w:w="80"/>
                  </w:tcMar>
                </w:tcPr>
                <w:p>
                  <w:r>
                    <w:rPr>
                      <w:rFonts w:ascii="Calibri" w:cs="Calibri" w:eastAsia="Calibri" w:hAnsi="Calibri"/>
                      <w:color w:val="595959"/>
                      <w:sz w:val="16"/>
                      <w:szCs w:val="16"/>
                    </w:rPr>
                    <w:t xml:space="preserve">Date</w:t>
                  </w:r>
                </w:p>
              </w:tc>
              <w:tc>
                <w:tcPr>
                  <w:tcW w:type="dxa" w:w="1900"/>
                  <w:tcMar>
                    <w:top w:type="dxa" w:w="30"/>
                    <w:left w:type="dxa" w:w="80"/>
                    <w:bottom w:type="dxa" w:w="30"/>
                    <w:right w:type="dxa" w:w="80"/>
                  </w:tcMar>
                </w:tcPr>
                <w:p>
                  <w:r>
                    <w:rPr>
                      <w:rFonts w:ascii="Calibri" w:cs="Calibri" w:eastAsia="Calibri" w:hAnsi="Calibri"/>
                      <w:b/>
                      <w:bCs/>
                      <w:color w:val="C00000"/>
                      <w:sz w:val="16"/>
                      <w:szCs w:val="16"/>
                    </w:rPr>
                    <w:t xml:space="preserve">[DATE]</w:t>
                  </w:r>
                </w:p>
              </w:tc>
            </w:tr>
          </w:tbl>
          <w:p/>
        </w:tc>
      </w:tr>
    </w:tbl>
    <w:p>
      <w:pPr>
        <w:pBdr>
          <w:bottom w:val="single" w:color="06233D" w:sz="30"/>
        </w:pBdr>
        <w:spacing w:after="160" w:before="60"/>
      </w:pPr>
    </w:p>
    <w:p>
      <w:pPr>
        <w:spacing w:after="100" w:before="240"/>
      </w:pPr>
      <w:r>
        <w:rPr>
          <w:rFonts w:ascii="Calibri" w:cs="Calibri" w:eastAsia="Calibri" w:hAnsi="Calibri"/>
          <w:b/>
          <w:bCs/>
          <w:color w:val="06233D"/>
          <w:sz w:val="24"/>
          <w:szCs w:val="24"/>
        </w:rPr>
        <w:t xml:space="preserve">Introduction</w:t>
      </w:r>
    </w:p>
    <w:p>
      <w:pPr>
        <w:spacing w:after="120" w:line="264"/>
      </w:pPr>
      <w:r>
        <w:rPr>
          <w:rFonts w:ascii="Calibri" w:cs="Calibri" w:eastAsia="Calibri" w:hAnsi="Calibri"/>
          <w:color w:val="1A1A1A"/>
          <w:sz w:val="21"/>
          <w:szCs w:val="21"/>
        </w:rPr>
        <w:t xml:space="preserve">This document outlines </w:t>
      </w:r>
      <w:r>
        <w:rPr>
          <w:rFonts w:ascii="Calibri" w:cs="Calibri" w:eastAsia="Calibri" w:hAnsi="Calibri"/>
          <w:b/>
          <w:bCs/>
          <w:color w:val="C00000"/>
          <w:sz w:val="21"/>
          <w:szCs w:val="21"/>
        </w:rPr>
        <w:t xml:space="preserve">[COMPANY NAME]</w:t>
      </w:r>
      <w:r>
        <w:rPr>
          <w:rFonts w:ascii="Calibri" w:cs="Calibri" w:eastAsia="Calibri" w:hAnsi="Calibri"/>
          <w:color w:val="1A1A1A"/>
          <w:sz w:val="21"/>
          <w:szCs w:val="21"/>
        </w:rPr>
        <w:t xml:space="preserve">'s procedures for the reporting and investigation of incidents, including accidents, near misses, dangerous occurrences, and environmental impacts. It applies to all events related to personal harm, near misses, dangerous occurrences, damage, security breaches, environmental harm, road traffic incidents, and unsafe acts or conditions. Collectively, these events are referred to as 'incidents'.</w:t>
      </w:r>
    </w:p>
    <w:p>
      <w:pPr>
        <w:spacing w:after="100" w:before="240"/>
      </w:pPr>
      <w:r>
        <w:rPr>
          <w:rFonts w:ascii="Calibri" w:cs="Calibri" w:eastAsia="Calibri" w:hAnsi="Calibri"/>
          <w:b/>
          <w:bCs/>
          <w:color w:val="06233D"/>
          <w:sz w:val="24"/>
          <w:szCs w:val="24"/>
        </w:rPr>
        <w:t xml:space="preserve">Scope</w:t>
      </w:r>
    </w:p>
    <w:p>
      <w:pPr>
        <w:spacing w:after="120" w:line="264"/>
      </w:pPr>
      <w:r>
        <w:rPr>
          <w:rFonts w:ascii="Calibri" w:cs="Calibri" w:eastAsia="Calibri" w:hAnsi="Calibri"/>
          <w:color w:val="1A1A1A"/>
          <w:sz w:val="21"/>
          <w:szCs w:val="21"/>
        </w:rPr>
        <w:t xml:space="preserve">This procedure applies to all </w:t>
      </w:r>
      <w:r>
        <w:rPr>
          <w:rFonts w:ascii="Calibri" w:cs="Calibri" w:eastAsia="Calibri" w:hAnsi="Calibri"/>
          <w:b/>
          <w:bCs/>
          <w:color w:val="C00000"/>
          <w:sz w:val="21"/>
          <w:szCs w:val="21"/>
        </w:rPr>
        <w:t xml:space="preserve">[COMPANY NAME]</w:t>
      </w:r>
      <w:r>
        <w:rPr>
          <w:rFonts w:ascii="Calibri" w:cs="Calibri" w:eastAsia="Calibri" w:hAnsi="Calibri"/>
          <w:color w:val="1A1A1A"/>
          <w:sz w:val="21"/>
          <w:szCs w:val="21"/>
        </w:rPr>
        <w:t xml:space="preserve"> employees, subcontractors, and temporary workers.</w:t>
      </w:r>
    </w:p>
    <w:p>
      <w:pPr>
        <w:spacing w:after="100" w:before="240"/>
      </w:pPr>
      <w:r>
        <w:rPr>
          <w:rFonts w:ascii="Calibri" w:cs="Calibri" w:eastAsia="Calibri" w:hAnsi="Calibri"/>
          <w:b/>
          <w:bCs/>
          <w:color w:val="06233D"/>
          <w:sz w:val="24"/>
          <w:szCs w:val="24"/>
        </w:rPr>
        <w:t xml:space="preserve">Responsibilities</w:t>
      </w:r>
    </w:p>
    <w:p>
      <w:pPr>
        <w:spacing w:after="70" w:before="160"/>
      </w:pPr>
      <w:r>
        <w:rPr>
          <w:rFonts w:ascii="Calibri" w:cs="Calibri" w:eastAsia="Calibri" w:hAnsi="Calibri"/>
          <w:b/>
          <w:bCs/>
          <w:color w:val="06233D"/>
          <w:sz w:val="22"/>
          <w:szCs w:val="22"/>
        </w:rPr>
        <w:t xml:space="preserve">Managing Director / Health &amp; Safety Lead</w:t>
      </w:r>
    </w:p>
    <w:p>
      <w:pPr>
        <w:pStyle w:val="ListParagraph"/>
        <w:numPr>
          <w:ilvl w:val="0"/>
          <w:numId w:val="2"/>
        </w:numPr>
        <w:spacing w:after="70" w:line="264"/>
      </w:pPr>
      <w:r>
        <w:rPr>
          <w:rFonts w:ascii="Calibri" w:cs="Calibri" w:eastAsia="Calibri" w:hAnsi="Calibri"/>
          <w:color w:val="1A1A1A"/>
          <w:sz w:val="21"/>
          <w:szCs w:val="21"/>
        </w:rPr>
        <w:t xml:space="preserve">Maintain this procedure, ensuring its ongoing effectiveness.</w:t>
      </w:r>
    </w:p>
    <w:p>
      <w:pPr>
        <w:pStyle w:val="ListParagraph"/>
        <w:numPr>
          <w:ilvl w:val="0"/>
          <w:numId w:val="2"/>
        </w:numPr>
        <w:spacing w:after="70" w:line="264"/>
      </w:pPr>
      <w:r>
        <w:rPr>
          <w:rFonts w:ascii="Calibri" w:cs="Calibri" w:eastAsia="Calibri" w:hAnsi="Calibri"/>
          <w:color w:val="1A1A1A"/>
          <w:sz w:val="21"/>
          <w:szCs w:val="21"/>
        </w:rPr>
        <w:t xml:space="preserve">Oversee the timely production of incident reports and investigations.</w:t>
      </w:r>
    </w:p>
    <w:p>
      <w:pPr>
        <w:pStyle w:val="ListParagraph"/>
        <w:numPr>
          <w:ilvl w:val="0"/>
          <w:numId w:val="2"/>
        </w:numPr>
        <w:spacing w:after="70" w:line="264"/>
      </w:pPr>
      <w:r>
        <w:rPr>
          <w:rFonts w:ascii="Calibri" w:cs="Calibri" w:eastAsia="Calibri" w:hAnsi="Calibri"/>
          <w:color w:val="1A1A1A"/>
          <w:sz w:val="21"/>
          <w:szCs w:val="21"/>
        </w:rPr>
        <w:t xml:space="preserve">Coordinate investigations and ensure a full report is completed within the specified timeframe.</w:t>
      </w:r>
    </w:p>
    <w:p>
      <w:pPr>
        <w:pStyle w:val="ListParagraph"/>
        <w:numPr>
          <w:ilvl w:val="0"/>
          <w:numId w:val="2"/>
        </w:numPr>
        <w:spacing w:after="70" w:line="264"/>
      </w:pPr>
      <w:r>
        <w:rPr>
          <w:rFonts w:ascii="Calibri" w:cs="Calibri" w:eastAsia="Calibri" w:hAnsi="Calibri"/>
          <w:color w:val="1A1A1A"/>
          <w:sz w:val="21"/>
          <w:szCs w:val="21"/>
        </w:rPr>
        <w:t xml:space="preserve">Ensure compliance with all relevant regulations, including RIDDOR (Reporting of Injuries, Diseases and Dangerous Occurrences Regulations).</w:t>
      </w:r>
    </w:p>
    <w:p>
      <w:pPr>
        <w:spacing w:after="70" w:before="160"/>
      </w:pPr>
      <w:r>
        <w:rPr>
          <w:rFonts w:ascii="Calibri" w:cs="Calibri" w:eastAsia="Calibri" w:hAnsi="Calibri"/>
          <w:b/>
          <w:bCs/>
          <w:color w:val="06233D"/>
          <w:sz w:val="22"/>
          <w:szCs w:val="22"/>
        </w:rPr>
        <w:t xml:space="preserve">Management</w:t>
      </w:r>
    </w:p>
    <w:p>
      <w:pPr>
        <w:pStyle w:val="ListParagraph"/>
        <w:numPr>
          <w:ilvl w:val="0"/>
          <w:numId w:val="2"/>
        </w:numPr>
        <w:spacing w:after="70" w:line="264"/>
      </w:pPr>
      <w:r>
        <w:rPr>
          <w:rFonts w:ascii="Calibri" w:cs="Calibri" w:eastAsia="Calibri" w:hAnsi="Calibri"/>
          <w:color w:val="1A1A1A"/>
          <w:sz w:val="21"/>
          <w:szCs w:val="21"/>
        </w:rPr>
        <w:t xml:space="preserve">Implement the incident reporting procedure within their areas.</w:t>
      </w:r>
    </w:p>
    <w:p>
      <w:pPr>
        <w:pStyle w:val="ListParagraph"/>
        <w:numPr>
          <w:ilvl w:val="0"/>
          <w:numId w:val="2"/>
        </w:numPr>
        <w:spacing w:after="70" w:line="264"/>
      </w:pPr>
      <w:r>
        <w:rPr>
          <w:rFonts w:ascii="Calibri" w:cs="Calibri" w:eastAsia="Calibri" w:hAnsi="Calibri"/>
          <w:color w:val="1A1A1A"/>
          <w:sz w:val="21"/>
          <w:szCs w:val="21"/>
        </w:rPr>
        <w:t xml:space="preserve">Ensure all incidents are reported to senior management within the required timeframe.</w:t>
      </w:r>
    </w:p>
    <w:p>
      <w:pPr>
        <w:pStyle w:val="ListParagraph"/>
        <w:numPr>
          <w:ilvl w:val="0"/>
          <w:numId w:val="2"/>
        </w:numPr>
        <w:spacing w:after="70" w:line="264"/>
      </w:pPr>
      <w:r>
        <w:rPr>
          <w:rFonts w:ascii="Calibri" w:cs="Calibri" w:eastAsia="Calibri" w:hAnsi="Calibri"/>
          <w:color w:val="1A1A1A"/>
          <w:sz w:val="21"/>
          <w:szCs w:val="21"/>
        </w:rPr>
        <w:t xml:space="preserve">Assist in the investigation of incidents and the preparation of reports.</w:t>
      </w:r>
    </w:p>
    <w:p>
      <w:pPr>
        <w:pStyle w:val="ListParagraph"/>
        <w:numPr>
          <w:ilvl w:val="0"/>
          <w:numId w:val="2"/>
        </w:numPr>
        <w:spacing w:after="70" w:line="264"/>
      </w:pPr>
      <w:r>
        <w:rPr>
          <w:rFonts w:ascii="Calibri" w:cs="Calibri" w:eastAsia="Calibri" w:hAnsi="Calibri"/>
          <w:color w:val="1A1A1A"/>
          <w:sz w:val="21"/>
          <w:szCs w:val="21"/>
        </w:rPr>
        <w:t xml:space="preserve">Take necessary actions, such as stopping work due to unsafe conditions.</w:t>
      </w:r>
    </w:p>
    <w:p>
      <w:pPr>
        <w:spacing w:after="70" w:before="160"/>
      </w:pPr>
      <w:r>
        <w:rPr>
          <w:rFonts w:ascii="Calibri" w:cs="Calibri" w:eastAsia="Calibri" w:hAnsi="Calibri"/>
          <w:b/>
          <w:bCs/>
          <w:color w:val="06233D"/>
          <w:sz w:val="22"/>
          <w:szCs w:val="22"/>
        </w:rPr>
        <w:t xml:space="preserve">Employees</w:t>
      </w:r>
    </w:p>
    <w:p>
      <w:pPr>
        <w:pStyle w:val="ListParagraph"/>
        <w:numPr>
          <w:ilvl w:val="0"/>
          <w:numId w:val="2"/>
        </w:numPr>
        <w:spacing w:after="70" w:line="264"/>
      </w:pPr>
      <w:r>
        <w:rPr>
          <w:rFonts w:ascii="Calibri" w:cs="Calibri" w:eastAsia="Calibri" w:hAnsi="Calibri"/>
          <w:color w:val="1A1A1A"/>
          <w:sz w:val="21"/>
          <w:szCs w:val="21"/>
        </w:rPr>
        <w:t xml:space="preserve">Understand and follow this incident reporting and investigation procedure.</w:t>
      </w:r>
    </w:p>
    <w:p>
      <w:pPr>
        <w:pStyle w:val="ListParagraph"/>
        <w:numPr>
          <w:ilvl w:val="0"/>
          <w:numId w:val="2"/>
        </w:numPr>
        <w:spacing w:after="70" w:line="264"/>
      </w:pPr>
      <w:r>
        <w:rPr>
          <w:rFonts w:ascii="Calibri" w:cs="Calibri" w:eastAsia="Calibri" w:hAnsi="Calibri"/>
          <w:color w:val="1A1A1A"/>
          <w:sz w:val="21"/>
          <w:szCs w:val="21"/>
        </w:rPr>
        <w:t xml:space="preserve">Report all incidents immediately to management without fear of reprisal.</w:t>
      </w:r>
    </w:p>
    <w:p>
      <w:pPr>
        <w:pStyle w:val="ListParagraph"/>
        <w:numPr>
          <w:ilvl w:val="0"/>
          <w:numId w:val="2"/>
        </w:numPr>
        <w:spacing w:after="70" w:line="264"/>
      </w:pPr>
      <w:r>
        <w:rPr>
          <w:rFonts w:ascii="Calibri" w:cs="Calibri" w:eastAsia="Calibri" w:hAnsi="Calibri"/>
          <w:color w:val="1A1A1A"/>
          <w:sz w:val="21"/>
          <w:szCs w:val="21"/>
        </w:rPr>
        <w:t xml:space="preserve">Assist in the investigation process if required.</w:t>
      </w:r>
    </w:p>
    <w:p>
      <w:pPr>
        <w:pStyle w:val="ListParagraph"/>
        <w:numPr>
          <w:ilvl w:val="0"/>
          <w:numId w:val="2"/>
        </w:numPr>
        <w:spacing w:after="70" w:line="264"/>
      </w:pPr>
      <w:r>
        <w:rPr>
          <w:rFonts w:ascii="Calibri" w:cs="Calibri" w:eastAsia="Calibri" w:hAnsi="Calibri"/>
          <w:color w:val="1A1A1A"/>
          <w:sz w:val="21"/>
          <w:szCs w:val="21"/>
        </w:rPr>
        <w:t xml:space="preserve">Follow instructions during incidents and emergencies to ensure personal and colleague safety.</w:t>
      </w:r>
    </w:p>
    <w:p>
      <w:pPr>
        <w:spacing w:after="100" w:before="240"/>
      </w:pPr>
      <w:r>
        <w:rPr>
          <w:rFonts w:ascii="Calibri" w:cs="Calibri" w:eastAsia="Calibri" w:hAnsi="Calibri"/>
          <w:b/>
          <w:bCs/>
          <w:color w:val="06233D"/>
          <w:sz w:val="24"/>
          <w:szCs w:val="24"/>
        </w:rPr>
        <w:t xml:space="preserve">Procedure</w:t>
      </w:r>
    </w:p>
    <w:p>
      <w:pPr>
        <w:spacing w:after="70" w:before="160"/>
      </w:pPr>
      <w:r>
        <w:rPr>
          <w:rFonts w:ascii="Calibri" w:cs="Calibri" w:eastAsia="Calibri" w:hAnsi="Calibri"/>
          <w:b/>
          <w:bCs/>
          <w:color w:val="06233D"/>
          <w:sz w:val="22"/>
          <w:szCs w:val="22"/>
        </w:rPr>
        <w:t xml:space="preserve">Reporting and Recording Incidents</w:t>
      </w:r>
    </w:p>
    <w:p>
      <w:pPr>
        <w:pStyle w:val="ListParagraph"/>
        <w:numPr>
          <w:ilvl w:val="0"/>
          <w:numId w:val="2"/>
        </w:numPr>
        <w:spacing w:after="70" w:line="264"/>
      </w:pPr>
      <w:r>
        <w:rPr>
          <w:rFonts w:ascii="Calibri" w:cs="Calibri" w:eastAsia="Calibri" w:hAnsi="Calibri"/>
          <w:color w:val="1A1A1A"/>
          <w:sz w:val="21"/>
          <w:szCs w:val="21"/>
        </w:rPr>
        <w:t xml:space="preserve">Immediate Notification: All incidents must be reported directly to management or a designated representative as soon as possible after occurrence, including a brief description of the incident.</w:t>
      </w:r>
    </w:p>
    <w:p>
      <w:pPr>
        <w:pStyle w:val="ListParagraph"/>
        <w:numPr>
          <w:ilvl w:val="0"/>
          <w:numId w:val="2"/>
        </w:numPr>
        <w:spacing w:after="70" w:line="264"/>
      </w:pPr>
      <w:r>
        <w:rPr>
          <w:rFonts w:ascii="Calibri" w:cs="Calibri" w:eastAsia="Calibri" w:hAnsi="Calibri"/>
          <w:color w:val="1A1A1A"/>
          <w:sz w:val="21"/>
          <w:szCs w:val="21"/>
        </w:rPr>
        <w:t xml:space="preserve">Investigation Decision: Management or a designated representative will decide the level of investigation required based on the potential severity of the incident.</w:t>
      </w:r>
    </w:p>
    <w:p>
      <w:pPr>
        <w:pStyle w:val="ListParagraph"/>
        <w:numPr>
          <w:ilvl w:val="0"/>
          <w:numId w:val="2"/>
        </w:numPr>
        <w:spacing w:after="70" w:line="264"/>
      </w:pPr>
      <w:r>
        <w:rPr>
          <w:rFonts w:ascii="Calibri" w:cs="Calibri" w:eastAsia="Calibri" w:hAnsi="Calibri"/>
          <w:color w:val="1A1A1A"/>
          <w:sz w:val="21"/>
          <w:szCs w:val="21"/>
        </w:rPr>
        <w:t xml:space="preserve">Investigation Reports: A thorough investigation and report (basic or detailed) must be completed within 7 days, or a mutually agreed timeframe for higher-impact incidents. This should examine existing risk controls, identify failure points, propose improvements, and ensure lessons are learned to prevent recurrence.</w:t>
      </w:r>
    </w:p>
    <w:p>
      <w:pPr>
        <w:spacing w:after="70" w:before="160"/>
      </w:pPr>
      <w:r>
        <w:rPr>
          <w:rFonts w:ascii="Calibri" w:cs="Calibri" w:eastAsia="Calibri" w:hAnsi="Calibri"/>
          <w:b/>
          <w:bCs/>
          <w:color w:val="06233D"/>
          <w:sz w:val="22"/>
          <w:szCs w:val="22"/>
        </w:rPr>
        <w:t xml:space="preserve">Investigation Timescales</w:t>
      </w:r>
    </w:p>
    <w:p>
      <w:pPr>
        <w:pStyle w:val="ListParagraph"/>
        <w:numPr>
          <w:ilvl w:val="0"/>
          <w:numId w:val="2"/>
        </w:numPr>
        <w:spacing w:after="70" w:line="264"/>
      </w:pPr>
      <w:r>
        <w:rPr>
          <w:rFonts w:ascii="Calibri" w:cs="Calibri" w:eastAsia="Calibri" w:hAnsi="Calibri"/>
          <w:color w:val="1A1A1A"/>
          <w:sz w:val="21"/>
          <w:szCs w:val="21"/>
        </w:rPr>
        <w:t xml:space="preserve">Standard: All incidents should be investigated within 7 days.</w:t>
      </w:r>
    </w:p>
    <w:p>
      <w:pPr>
        <w:pStyle w:val="ListParagraph"/>
        <w:numPr>
          <w:ilvl w:val="0"/>
          <w:numId w:val="2"/>
        </w:numPr>
        <w:spacing w:after="70" w:line="264"/>
      </w:pPr>
      <w:r>
        <w:rPr>
          <w:rFonts w:ascii="Calibri" w:cs="Calibri" w:eastAsia="Calibri" w:hAnsi="Calibri"/>
          <w:color w:val="1A1A1A"/>
          <w:sz w:val="21"/>
          <w:szCs w:val="21"/>
        </w:rPr>
        <w:t xml:space="preserve">High-Impact: For incidents with significant potential consequences, a longer timeframe may be agreed with management.</w:t>
      </w:r>
    </w:p>
    <w:p>
      <w:pPr>
        <w:spacing w:after="70" w:before="160"/>
      </w:pPr>
      <w:r>
        <w:rPr>
          <w:rFonts w:ascii="Calibri" w:cs="Calibri" w:eastAsia="Calibri" w:hAnsi="Calibri"/>
          <w:b/>
          <w:bCs/>
          <w:color w:val="06233D"/>
          <w:sz w:val="22"/>
          <w:szCs w:val="22"/>
        </w:rPr>
        <w:t xml:space="preserve">Causation Analysis</w:t>
      </w:r>
    </w:p>
    <w:p>
      <w:pPr>
        <w:spacing w:after="120" w:line="264"/>
      </w:pPr>
      <w:r>
        <w:rPr>
          <w:rFonts w:ascii="Calibri" w:cs="Calibri" w:eastAsia="Calibri" w:hAnsi="Calibri"/>
          <w:color w:val="1A1A1A"/>
          <w:sz w:val="21"/>
          <w:szCs w:val="21"/>
        </w:rPr>
        <w:t xml:space="preserve">The investigation should analyse both immediate causes (e.g. unsafe acts or conditions) and underlying causes (e.g. human factors or job-related issues) to ensure a thorough understanding of the incident and the development of effective corrective actions.</w:t>
      </w:r>
    </w:p>
    <w:p>
      <w:pPr>
        <w:spacing w:after="70" w:before="160"/>
      </w:pPr>
      <w:r>
        <w:rPr>
          <w:rFonts w:ascii="Calibri" w:cs="Calibri" w:eastAsia="Calibri" w:hAnsi="Calibri"/>
          <w:b/>
          <w:bCs/>
          <w:color w:val="06233D"/>
          <w:sz w:val="22"/>
          <w:szCs w:val="22"/>
        </w:rPr>
        <w:t xml:space="preserve">Comprehensive Investigations</w:t>
      </w:r>
    </w:p>
    <w:p>
      <w:pPr>
        <w:spacing w:after="120" w:line="264"/>
      </w:pPr>
      <w:r>
        <w:rPr>
          <w:rFonts w:ascii="Calibri" w:cs="Calibri" w:eastAsia="Calibri" w:hAnsi="Calibri"/>
          <w:color w:val="1A1A1A"/>
          <w:sz w:val="21"/>
          <w:szCs w:val="21"/>
        </w:rPr>
        <w:t xml:space="preserve">Investigations should be led by personnel trained and/or competent in root cause analysis and incident investigation techniques. Key tasks include:</w:t>
      </w:r>
    </w:p>
    <w:p>
      <w:pPr>
        <w:pStyle w:val="ListParagraph"/>
        <w:numPr>
          <w:ilvl w:val="0"/>
          <w:numId w:val="2"/>
        </w:numPr>
        <w:spacing w:after="70" w:line="264"/>
      </w:pPr>
      <w:r>
        <w:rPr>
          <w:rFonts w:ascii="Calibri" w:cs="Calibri" w:eastAsia="Calibri" w:hAnsi="Calibri"/>
          <w:color w:val="1A1A1A"/>
          <w:sz w:val="21"/>
          <w:szCs w:val="21"/>
        </w:rPr>
        <w:t xml:space="preserve">Examining risk control measures and potential gaps.</w:t>
      </w:r>
    </w:p>
    <w:p>
      <w:pPr>
        <w:pStyle w:val="ListParagraph"/>
        <w:numPr>
          <w:ilvl w:val="0"/>
          <w:numId w:val="2"/>
        </w:numPr>
        <w:spacing w:after="70" w:line="264"/>
      </w:pPr>
      <w:r>
        <w:rPr>
          <w:rFonts w:ascii="Calibri" w:cs="Calibri" w:eastAsia="Calibri" w:hAnsi="Calibri"/>
          <w:color w:val="1A1A1A"/>
          <w:sz w:val="21"/>
          <w:szCs w:val="21"/>
        </w:rPr>
        <w:t xml:space="preserve">Interviewing witnesses and involved parties.</w:t>
      </w:r>
    </w:p>
    <w:p>
      <w:pPr>
        <w:pStyle w:val="ListParagraph"/>
        <w:numPr>
          <w:ilvl w:val="0"/>
          <w:numId w:val="2"/>
        </w:numPr>
        <w:spacing w:after="70" w:line="264"/>
      </w:pPr>
      <w:r>
        <w:rPr>
          <w:rFonts w:ascii="Calibri" w:cs="Calibri" w:eastAsia="Calibri" w:hAnsi="Calibri"/>
          <w:color w:val="1A1A1A"/>
          <w:sz w:val="21"/>
          <w:szCs w:val="21"/>
        </w:rPr>
        <w:t xml:space="preserve">Collecting and storing relevant evidence.</w:t>
      </w:r>
    </w:p>
    <w:p>
      <w:pPr>
        <w:pStyle w:val="ListParagraph"/>
        <w:numPr>
          <w:ilvl w:val="0"/>
          <w:numId w:val="2"/>
        </w:numPr>
        <w:spacing w:after="70" w:line="264"/>
      </w:pPr>
      <w:r>
        <w:rPr>
          <w:rFonts w:ascii="Calibri" w:cs="Calibri" w:eastAsia="Calibri" w:hAnsi="Calibri"/>
          <w:color w:val="1A1A1A"/>
          <w:sz w:val="21"/>
          <w:szCs w:val="21"/>
        </w:rPr>
        <w:t xml:space="preserve">Recording findings, conclusions and improvement recommendations.</w:t>
      </w:r>
    </w:p>
    <w:p>
      <w:pPr>
        <w:pStyle w:val="ListParagraph"/>
        <w:numPr>
          <w:ilvl w:val="0"/>
          <w:numId w:val="2"/>
        </w:numPr>
        <w:spacing w:after="70" w:line="264"/>
      </w:pPr>
      <w:r>
        <w:rPr>
          <w:rFonts w:ascii="Calibri" w:cs="Calibri" w:eastAsia="Calibri" w:hAnsi="Calibri"/>
          <w:color w:val="1A1A1A"/>
          <w:sz w:val="21"/>
          <w:szCs w:val="21"/>
        </w:rPr>
        <w:t xml:space="preserve">Reviewing outcomes with management to agree necessary improvement actions.</w:t>
      </w:r>
    </w:p>
    <w:p>
      <w:pPr>
        <w:pStyle w:val="ListParagraph"/>
        <w:numPr>
          <w:ilvl w:val="0"/>
          <w:numId w:val="2"/>
        </w:numPr>
        <w:spacing w:after="70" w:line="264"/>
      </w:pPr>
      <w:r>
        <w:rPr>
          <w:rFonts w:ascii="Calibri" w:cs="Calibri" w:eastAsia="Calibri" w:hAnsi="Calibri"/>
          <w:color w:val="1A1A1A"/>
          <w:sz w:val="21"/>
          <w:szCs w:val="21"/>
        </w:rPr>
        <w:t xml:space="preserve">Allocating and recording improvement actions with a timescale for implementation.</w:t>
      </w:r>
    </w:p>
    <w:p>
      <w:pPr>
        <w:spacing w:after="70" w:before="160"/>
      </w:pPr>
      <w:r>
        <w:rPr>
          <w:rFonts w:ascii="Calibri" w:cs="Calibri" w:eastAsia="Calibri" w:hAnsi="Calibri"/>
          <w:b/>
          <w:bCs/>
          <w:color w:val="06233D"/>
          <w:sz w:val="22"/>
          <w:szCs w:val="22"/>
        </w:rPr>
        <w:t xml:space="preserve">Incident Categories</w:t>
      </w:r>
    </w:p>
    <w:p>
      <w:pPr>
        <w:spacing w:after="120" w:line="264"/>
      </w:pPr>
      <w:r>
        <w:rPr>
          <w:rFonts w:ascii="Calibri" w:cs="Calibri" w:eastAsia="Calibri" w:hAnsi="Calibri"/>
          <w:color w:val="1A1A1A"/>
          <w:sz w:val="21"/>
          <w:szCs w:val="21"/>
        </w:rPr>
        <w:t xml:space="preserve">All incidents should be classified according to the following categories:</w:t>
      </w:r>
    </w:p>
    <w:p>
      <w:pPr>
        <w:pStyle w:val="ListParagraph"/>
        <w:numPr>
          <w:ilvl w:val="0"/>
          <w:numId w:val="2"/>
        </w:numPr>
        <w:spacing w:after="70" w:line="264"/>
      </w:pPr>
      <w:r>
        <w:rPr>
          <w:rFonts w:ascii="Calibri" w:cs="Calibri" w:eastAsia="Calibri" w:hAnsi="Calibri"/>
          <w:color w:val="1A1A1A"/>
          <w:sz w:val="21"/>
          <w:szCs w:val="21"/>
        </w:rPr>
        <w:t xml:space="preserve">Vehicle Incident: Any company or third-party vehicle used in connection with the work.</w:t>
      </w:r>
    </w:p>
    <w:p>
      <w:pPr>
        <w:pStyle w:val="ListParagraph"/>
        <w:numPr>
          <w:ilvl w:val="0"/>
          <w:numId w:val="2"/>
        </w:numPr>
        <w:spacing w:after="70" w:line="264"/>
      </w:pPr>
      <w:r>
        <w:rPr>
          <w:rFonts w:ascii="Calibri" w:cs="Calibri" w:eastAsia="Calibri" w:hAnsi="Calibri"/>
          <w:color w:val="1A1A1A"/>
          <w:sz w:val="21"/>
          <w:szCs w:val="21"/>
        </w:rPr>
        <w:t xml:space="preserve">Accident: Any physical injury, no matter how minor, to employees, subcontractors or visitors.</w:t>
      </w:r>
    </w:p>
    <w:p>
      <w:pPr>
        <w:pStyle w:val="ListParagraph"/>
        <w:numPr>
          <w:ilvl w:val="0"/>
          <w:numId w:val="2"/>
        </w:numPr>
        <w:spacing w:after="70" w:line="264"/>
      </w:pPr>
      <w:r>
        <w:rPr>
          <w:rFonts w:ascii="Calibri" w:cs="Calibri" w:eastAsia="Calibri" w:hAnsi="Calibri"/>
          <w:color w:val="1A1A1A"/>
          <w:sz w:val="21"/>
          <w:szCs w:val="21"/>
        </w:rPr>
        <w:t xml:space="preserve">Near Miss: Any incident that could have caused injury but did not, including dangerous occurrences reportable under RIDDOR.</w:t>
      </w:r>
    </w:p>
    <w:p>
      <w:pPr>
        <w:pStyle w:val="ListParagraph"/>
        <w:numPr>
          <w:ilvl w:val="0"/>
          <w:numId w:val="2"/>
        </w:numPr>
        <w:spacing w:after="70" w:line="264"/>
      </w:pPr>
      <w:r>
        <w:rPr>
          <w:rFonts w:ascii="Calibri" w:cs="Calibri" w:eastAsia="Calibri" w:hAnsi="Calibri"/>
          <w:color w:val="1A1A1A"/>
          <w:sz w:val="21"/>
          <w:szCs w:val="21"/>
        </w:rPr>
        <w:t xml:space="preserve">Environmental Incident: Any incident causing or risking environmental harm.</w:t>
      </w:r>
    </w:p>
    <w:p>
      <w:pPr>
        <w:pStyle w:val="ListParagraph"/>
        <w:numPr>
          <w:ilvl w:val="0"/>
          <w:numId w:val="2"/>
        </w:numPr>
        <w:spacing w:after="70" w:line="264"/>
      </w:pPr>
      <w:r>
        <w:rPr>
          <w:rFonts w:ascii="Calibri" w:cs="Calibri" w:eastAsia="Calibri" w:hAnsi="Calibri"/>
          <w:color w:val="1A1A1A"/>
          <w:sz w:val="21"/>
          <w:szCs w:val="21"/>
        </w:rPr>
        <w:t xml:space="preserve">Property Damage: Any damage to company or third-party property or equipment.</w:t>
      </w:r>
    </w:p>
    <w:p>
      <w:pPr>
        <w:pStyle w:val="ListParagraph"/>
        <w:numPr>
          <w:ilvl w:val="0"/>
          <w:numId w:val="2"/>
        </w:numPr>
        <w:spacing w:after="70" w:line="264"/>
      </w:pPr>
      <w:r>
        <w:rPr>
          <w:rFonts w:ascii="Calibri" w:cs="Calibri" w:eastAsia="Calibri" w:hAnsi="Calibri"/>
          <w:color w:val="1A1A1A"/>
          <w:sz w:val="21"/>
          <w:szCs w:val="21"/>
        </w:rPr>
        <w:t xml:space="preserve">Theft or Loss: Theft or vandalism of company assets, including third-party claims.</w:t>
      </w:r>
    </w:p>
    <w:p>
      <w:pPr>
        <w:spacing w:after="70" w:before="160"/>
      </w:pPr>
      <w:r>
        <w:rPr>
          <w:rFonts w:ascii="Calibri" w:cs="Calibri" w:eastAsia="Calibri" w:hAnsi="Calibri"/>
          <w:b/>
          <w:bCs/>
          <w:color w:val="06233D"/>
          <w:sz w:val="22"/>
          <w:szCs w:val="22"/>
        </w:rPr>
        <w:t xml:space="preserve">Investigation Team Composition</w:t>
      </w:r>
    </w:p>
    <w:p>
      <w:pPr>
        <w:spacing w:after="120" w:line="264"/>
      </w:pPr>
      <w:r>
        <w:rPr>
          <w:rFonts w:ascii="Calibri" w:cs="Calibri" w:eastAsia="Calibri" w:hAnsi="Calibri"/>
          <w:color w:val="1A1A1A"/>
          <w:sz w:val="21"/>
          <w:szCs w:val="21"/>
        </w:rPr>
        <w:t xml:space="preserve">The team composition should reflect the incident's actual or potential impact:</w:t>
      </w:r>
    </w:p>
    <w:p>
      <w:pPr>
        <w:pStyle w:val="ListParagraph"/>
        <w:numPr>
          <w:ilvl w:val="0"/>
          <w:numId w:val="2"/>
        </w:numPr>
        <w:spacing w:after="70" w:line="264"/>
      </w:pPr>
      <w:r>
        <w:rPr>
          <w:rFonts w:ascii="Calibri" w:cs="Calibri" w:eastAsia="Calibri" w:hAnsi="Calibri"/>
          <w:color w:val="1A1A1A"/>
          <w:sz w:val="21"/>
          <w:szCs w:val="21"/>
        </w:rPr>
        <w:t xml:space="preserve">Major: Independent or Health &amp; Safety led.</w:t>
      </w:r>
    </w:p>
    <w:p>
      <w:pPr>
        <w:pStyle w:val="ListParagraph"/>
        <w:numPr>
          <w:ilvl w:val="0"/>
          <w:numId w:val="2"/>
        </w:numPr>
        <w:spacing w:after="70" w:line="264"/>
      </w:pPr>
      <w:r>
        <w:rPr>
          <w:rFonts w:ascii="Calibri" w:cs="Calibri" w:eastAsia="Calibri" w:hAnsi="Calibri"/>
          <w:color w:val="1A1A1A"/>
          <w:sz w:val="21"/>
          <w:szCs w:val="21"/>
        </w:rPr>
        <w:t xml:space="preserve">Moderate: Management led with Health &amp; Safety supporting.</w:t>
      </w:r>
    </w:p>
    <w:p>
      <w:pPr>
        <w:pStyle w:val="ListParagraph"/>
        <w:numPr>
          <w:ilvl w:val="0"/>
          <w:numId w:val="2"/>
        </w:numPr>
        <w:spacing w:after="70" w:line="264"/>
      </w:pPr>
      <w:r>
        <w:rPr>
          <w:rFonts w:ascii="Calibri" w:cs="Calibri" w:eastAsia="Calibri" w:hAnsi="Calibri"/>
          <w:color w:val="1A1A1A"/>
          <w:sz w:val="21"/>
          <w:szCs w:val="21"/>
        </w:rPr>
        <w:t xml:space="preserve">Minor: Management led.</w:t>
      </w:r>
    </w:p>
    <w:p>
      <w:pPr>
        <w:spacing w:after="70" w:before="160"/>
      </w:pPr>
      <w:r>
        <w:rPr>
          <w:rFonts w:ascii="Calibri" w:cs="Calibri" w:eastAsia="Calibri" w:hAnsi="Calibri"/>
          <w:b/>
          <w:bCs/>
          <w:color w:val="06233D"/>
          <w:sz w:val="22"/>
          <w:szCs w:val="22"/>
        </w:rPr>
        <w:t xml:space="preserve">RIDDOR Reporting</w:t>
      </w:r>
    </w:p>
    <w:p>
      <w:pPr>
        <w:spacing w:after="120" w:line="264"/>
      </w:pPr>
      <w:r>
        <w:rPr>
          <w:rFonts w:ascii="Calibri" w:cs="Calibri" w:eastAsia="Calibri" w:hAnsi="Calibri"/>
          <w:color w:val="1A1A1A"/>
          <w:sz w:val="21"/>
          <w:szCs w:val="21"/>
        </w:rPr>
        <w:t xml:space="preserve">If the incident is reportable under the Reporting of Injuries, Diseases and Dangerous Occurrences Regulations (RIDDOR), report it to the Health and Safety Executive (HSE) within the required timeframe. Reportable events include fatal accidents, specified injuries (e.g. fractures, amputations), over-seven-day injuries, certain occupational diseases, and dangerous occurrences.</w:t>
      </w:r>
    </w:p>
    <w:p>
      <w:pPr>
        <w:spacing w:after="100" w:before="240"/>
      </w:pPr>
      <w:r>
        <w:rPr>
          <w:rFonts w:ascii="Calibri" w:cs="Calibri" w:eastAsia="Calibri" w:hAnsi="Calibri"/>
          <w:b/>
          <w:bCs/>
          <w:color w:val="06233D"/>
          <w:sz w:val="24"/>
          <w:szCs w:val="24"/>
        </w:rPr>
        <w:t xml:space="preserve">Training</w:t>
      </w:r>
    </w:p>
    <w:p>
      <w:pPr>
        <w:pStyle w:val="ListParagraph"/>
        <w:numPr>
          <w:ilvl w:val="0"/>
          <w:numId w:val="2"/>
        </w:numPr>
        <w:spacing w:after="70" w:line="264"/>
      </w:pPr>
      <w:r>
        <w:rPr>
          <w:rFonts w:ascii="Calibri" w:cs="Calibri" w:eastAsia="Calibri" w:hAnsi="Calibri"/>
          <w:color w:val="1A1A1A"/>
          <w:sz w:val="21"/>
          <w:szCs w:val="21"/>
        </w:rPr>
        <w:t xml:space="preserve">All employees will receive training on the incident reporting procedure.</w:t>
      </w:r>
    </w:p>
    <w:p>
      <w:pPr>
        <w:pStyle w:val="ListParagraph"/>
        <w:numPr>
          <w:ilvl w:val="0"/>
          <w:numId w:val="2"/>
        </w:numPr>
        <w:spacing w:after="70" w:line="264"/>
      </w:pPr>
      <w:r>
        <w:rPr>
          <w:rFonts w:ascii="Calibri" w:cs="Calibri" w:eastAsia="Calibri" w:hAnsi="Calibri"/>
          <w:color w:val="1A1A1A"/>
          <w:sz w:val="21"/>
          <w:szCs w:val="21"/>
        </w:rPr>
        <w:t xml:space="preserve">Designated personnel will receive first-aid training.</w:t>
      </w:r>
    </w:p>
    <w:p>
      <w:pPr>
        <w:pStyle w:val="ListParagraph"/>
        <w:numPr>
          <w:ilvl w:val="0"/>
          <w:numId w:val="2"/>
        </w:numPr>
        <w:spacing w:after="70" w:line="264"/>
      </w:pPr>
      <w:r>
        <w:rPr>
          <w:rFonts w:ascii="Calibri" w:cs="Calibri" w:eastAsia="Calibri" w:hAnsi="Calibri"/>
          <w:color w:val="1A1A1A"/>
          <w:sz w:val="21"/>
          <w:szCs w:val="21"/>
        </w:rPr>
        <w:t xml:space="preserve">Employees operating specialist equipment or vehicles must hold the relevant certified training.</w:t>
      </w:r>
    </w:p>
    <w:p>
      <w:pPr>
        <w:spacing w:after="100" w:before="240"/>
      </w:pPr>
      <w:r>
        <w:rPr>
          <w:rFonts w:ascii="Calibri" w:cs="Calibri" w:eastAsia="Calibri" w:hAnsi="Calibri"/>
          <w:b/>
          <w:bCs/>
          <w:color w:val="06233D"/>
          <w:sz w:val="24"/>
          <w:szCs w:val="24"/>
        </w:rPr>
        <w:t xml:space="preserve">Review</w:t>
      </w:r>
    </w:p>
    <w:p>
      <w:pPr>
        <w:pStyle w:val="ListParagraph"/>
        <w:numPr>
          <w:ilvl w:val="0"/>
          <w:numId w:val="2"/>
        </w:numPr>
        <w:spacing w:after="70" w:line="264"/>
      </w:pPr>
      <w:r>
        <w:rPr>
          <w:rFonts w:ascii="Calibri" w:cs="Calibri" w:eastAsia="Calibri" w:hAnsi="Calibri"/>
          <w:color w:val="1A1A1A"/>
          <w:sz w:val="21"/>
          <w:szCs w:val="21"/>
        </w:rPr>
        <w:t xml:space="preserve">This procedure will be reviewed annually, or more often if necessary.</w:t>
      </w:r>
    </w:p>
    <w:p>
      <w:pPr>
        <w:pStyle w:val="ListParagraph"/>
        <w:numPr>
          <w:ilvl w:val="0"/>
          <w:numId w:val="2"/>
        </w:numPr>
        <w:spacing w:after="70" w:line="264"/>
      </w:pPr>
      <w:r>
        <w:rPr>
          <w:rFonts w:ascii="Calibri" w:cs="Calibri" w:eastAsia="Calibri" w:hAnsi="Calibri"/>
          <w:color w:val="1A1A1A"/>
          <w:sz w:val="21"/>
          <w:szCs w:val="21"/>
        </w:rPr>
        <w:t xml:space="preserve">It will also be reviewed whenever the scope of work or risk profile changes.</w:t>
      </w:r>
    </w:p>
    <w:p>
      <w:pPr>
        <w:spacing w:after="100" w:before="240"/>
      </w:pPr>
      <w:r>
        <w:rPr>
          <w:rFonts w:ascii="Calibri" w:cs="Calibri" w:eastAsia="Calibri" w:hAnsi="Calibri"/>
          <w:b/>
          <w:bCs/>
          <w:color w:val="06233D"/>
          <w:sz w:val="24"/>
          <w:szCs w:val="24"/>
        </w:rPr>
        <w:t xml:space="preserve">Legislation &amp; Standards</w:t>
      </w:r>
    </w:p>
    <w:p>
      <w:pPr>
        <w:pStyle w:val="ListParagraph"/>
        <w:numPr>
          <w:ilvl w:val="0"/>
          <w:numId w:val="2"/>
        </w:numPr>
        <w:spacing w:after="70" w:line="264"/>
      </w:pPr>
      <w:r>
        <w:rPr>
          <w:rFonts w:ascii="Calibri" w:cs="Calibri" w:eastAsia="Calibri" w:hAnsi="Calibri"/>
          <w:color w:val="1A1A1A"/>
          <w:sz w:val="21"/>
          <w:szCs w:val="21"/>
        </w:rPr>
        <w:t xml:space="preserve">Health and Safety at Work etc. Act 1974 (latest revision).</w:t>
      </w:r>
    </w:p>
    <w:p>
      <w:pPr>
        <w:pStyle w:val="ListParagraph"/>
        <w:numPr>
          <w:ilvl w:val="0"/>
          <w:numId w:val="2"/>
        </w:numPr>
        <w:spacing w:after="70" w:line="264"/>
      </w:pPr>
      <w:r>
        <w:rPr>
          <w:rFonts w:ascii="Calibri" w:cs="Calibri" w:eastAsia="Calibri" w:hAnsi="Calibri"/>
          <w:color w:val="1A1A1A"/>
          <w:sz w:val="21"/>
          <w:szCs w:val="21"/>
        </w:rPr>
        <w:t xml:space="preserve">Reporting of Injuries, Diseases and Dangerous Occurrences Regulations (RIDDOR) (latest revision).</w:t>
      </w:r>
    </w:p>
    <w:p>
      <w:pPr>
        <w:spacing w:after="100" w:before="240"/>
      </w:pPr>
      <w:r>
        <w:rPr>
          <w:rFonts w:ascii="Calibri" w:cs="Calibri" w:eastAsia="Calibri" w:hAnsi="Calibri"/>
          <w:b/>
          <w:bCs/>
          <w:color w:val="06233D"/>
          <w:sz w:val="24"/>
          <w:szCs w:val="24"/>
        </w:rPr>
        <w:t xml:space="preserve">Associated Documents</w:t>
      </w:r>
    </w:p>
    <w:p>
      <w:pPr>
        <w:pStyle w:val="ListParagraph"/>
        <w:numPr>
          <w:ilvl w:val="0"/>
          <w:numId w:val="2"/>
        </w:numPr>
        <w:spacing w:after="70" w:line="264"/>
      </w:pPr>
      <w:r>
        <w:rPr>
          <w:rFonts w:ascii="Calibri" w:cs="Calibri" w:eastAsia="Calibri" w:hAnsi="Calibri"/>
          <w:b/>
          <w:bCs/>
          <w:color w:val="C00000"/>
          <w:sz w:val="21"/>
          <w:szCs w:val="21"/>
        </w:rPr>
        <w:t xml:space="preserve">[REF]</w:t>
      </w:r>
      <w:r>
        <w:rPr>
          <w:rFonts w:ascii="Calibri" w:cs="Calibri" w:eastAsia="Calibri" w:hAnsi="Calibri"/>
          <w:color w:val="1A1A1A"/>
          <w:sz w:val="21"/>
          <w:szCs w:val="21"/>
        </w:rPr>
        <w:t xml:space="preserve"> - Basic Incident Investigation Report</w:t>
      </w:r>
    </w:p>
    <w:p>
      <w:pPr>
        <w:pStyle w:val="ListParagraph"/>
        <w:numPr>
          <w:ilvl w:val="0"/>
          <w:numId w:val="2"/>
        </w:numPr>
        <w:spacing w:after="70" w:line="264"/>
      </w:pPr>
      <w:r>
        <w:rPr>
          <w:rFonts w:ascii="Calibri" w:cs="Calibri" w:eastAsia="Calibri" w:hAnsi="Calibri"/>
          <w:b/>
          <w:bCs/>
          <w:color w:val="C00000"/>
          <w:sz w:val="21"/>
          <w:szCs w:val="21"/>
        </w:rPr>
        <w:t xml:space="preserve">[REF]</w:t>
      </w:r>
      <w:r>
        <w:rPr>
          <w:rFonts w:ascii="Calibri" w:cs="Calibri" w:eastAsia="Calibri" w:hAnsi="Calibri"/>
          <w:color w:val="1A1A1A"/>
          <w:sz w:val="21"/>
          <w:szCs w:val="21"/>
        </w:rPr>
        <w:t xml:space="preserve"> - Detailed Incident Investigation Report</w:t>
      </w:r>
    </w:p>
    <w:p>
      <w:pPr>
        <w:pStyle w:val="ListParagraph"/>
        <w:numPr>
          <w:ilvl w:val="0"/>
          <w:numId w:val="2"/>
        </w:numPr>
        <w:spacing w:after="70" w:line="264"/>
      </w:pPr>
      <w:r>
        <w:rPr>
          <w:rFonts w:ascii="Calibri" w:cs="Calibri" w:eastAsia="Calibri" w:hAnsi="Calibri"/>
          <w:b/>
          <w:bCs/>
          <w:color w:val="C00000"/>
          <w:sz w:val="21"/>
          <w:szCs w:val="21"/>
        </w:rPr>
        <w:t xml:space="preserve">[REF]</w:t>
      </w:r>
      <w:r>
        <w:rPr>
          <w:rFonts w:ascii="Calibri" w:cs="Calibri" w:eastAsia="Calibri" w:hAnsi="Calibri"/>
          <w:color w:val="1A1A1A"/>
          <w:sz w:val="21"/>
          <w:szCs w:val="21"/>
        </w:rPr>
        <w:t xml:space="preserve"> - Witness Statement Form</w:t>
      </w:r>
    </w:p>
    <w:p>
      <w:pPr>
        <w:pBdr>
          <w:top w:val="single" w:color="CAE8FF" w:sz="12"/>
        </w:pBdr>
        <w:spacing w:after="120" w:before="280"/>
      </w:pPr>
    </w:p>
    <w:p>
      <w:pPr>
        <w:spacing w:after="120" w:line="264"/>
      </w:pPr>
      <w:r>
        <w:rPr>
          <w:rFonts w:ascii="Calibri" w:cs="Calibri" w:eastAsia="Calibri" w:hAnsi="Calibri"/>
          <w:color w:val="1A1A1A"/>
          <w:sz w:val="21"/>
          <w:szCs w:val="21"/>
        </w:rPr>
        <w:t xml:space="preserve">Signed: ......................................................    Date: ........................</w:t>
      </w:r>
    </w:p>
    <w:p>
      <w:pPr>
        <w:spacing w:before="60"/>
      </w:pPr>
      <w:r>
        <w:rPr>
          <w:rFonts w:ascii="Calibri" w:cs="Calibri" w:eastAsia="Calibri" w:hAnsi="Calibri"/>
          <w:color w:val="1A1A1A"/>
          <w:sz w:val="21"/>
          <w:szCs w:val="21"/>
        </w:rPr>
        <w:t xml:space="preserve">Name: </w:t>
      </w:r>
      <w:r>
        <w:rPr>
          <w:rFonts w:ascii="Calibri" w:cs="Calibri" w:eastAsia="Calibri" w:hAnsi="Calibri"/>
          <w:b/>
          <w:bCs/>
          <w:color w:val="C00000"/>
          <w:sz w:val="21"/>
          <w:szCs w:val="21"/>
        </w:rPr>
        <w:t xml:space="preserve">[NAME]</w:t>
      </w:r>
    </w:p>
    <w:p>
      <w:pPr>
        <w:spacing w:before="20"/>
      </w:pPr>
      <w:r>
        <w:rPr>
          <w:rFonts w:ascii="Calibri" w:cs="Calibri" w:eastAsia="Calibri" w:hAnsi="Calibri"/>
          <w:color w:val="1A1A1A"/>
          <w:sz w:val="21"/>
          <w:szCs w:val="21"/>
        </w:rPr>
        <w:t xml:space="preserve">Position: </w:t>
      </w:r>
      <w:r>
        <w:rPr>
          <w:rFonts w:ascii="Calibri" w:cs="Calibri" w:eastAsia="Calibri" w:hAnsi="Calibri"/>
          <w:b/>
          <w:bCs/>
          <w:color w:val="C00000"/>
          <w:sz w:val="21"/>
          <w:szCs w:val="21"/>
        </w:rPr>
        <w:t xml:space="preserve">[POSITION - e.g. Managing Director]</w:t>
      </w:r>
    </w:p>
    <w:sectPr>
      <w:footerReference w:type="default" r:id="rId7"/>
      <w:pgSz w:w="11906" w:h="16838" w:orient="portrait"/>
      <w:pgMar w:top="720" w:right="1080" w:bottom="90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06233D" w:sz="12"/>
      </w:pBdr>
      <w:tabs>
        <w:tab w:val="right" w:pos="9300"/>
      </w:tabs>
      <w:spacing w:before="60"/>
    </w:pPr>
    <w:r>
      <w:rPr>
        <w:rFonts w:ascii="Calibri" w:cs="Calibri" w:eastAsia="Calibri" w:hAnsi="Calibri"/>
        <w:color w:val="595959"/>
        <w:sz w:val="15"/>
        <w:szCs w:val="15"/>
      </w:rPr>
      <w:t xml:space="preserve">[DOC REF]  |  Template provided by AcreditSafe</w:t>
    </w:r>
    <w:r>
      <w:rPr>
        <w:rFonts w:ascii="Calibri" w:cs="Calibri" w:eastAsia="Calibri" w:hAnsi="Calibri"/>
        <w:color w:val="595959"/>
        <w:sz w:val="15"/>
        <w:szCs w:val="15"/>
      </w:rPr>
      <w:t xml:space="preserve">	Page </w:t>
    </w:r>
    <w:r>
      <w:rPr>
        <w:rFonts w:ascii="Calibri" w:cs="Calibri" w:eastAsia="Calibri" w:hAnsi="Calibri"/>
        <w:color w:val="595959"/>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footnotes" Target="footnotes.xml"/><Relationship Id="rId7"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customXml" Target="../customXml/item3.xml"/><Relationship Id="rId5" Type="http://schemas.openxmlformats.org/officeDocument/2006/relationships/settings" Target="settings.xml"/><Relationship Id="rId10" Type="http://schemas.openxmlformats.org/officeDocument/2006/relationships/customXml" Target="../customXml/item2.xml"/><Relationship Id="rId4" Type="http://schemas.openxmlformats.org/officeDocument/2006/relationships/endnotes" Target="endnotes.xml"/><Relationship Id="rId9" Type="http://schemas.openxmlformats.org/officeDocument/2006/relationships/customXml" Target="../customXml/item1.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4D6A9D30D44A4BA94EE6F699F147E8" ma:contentTypeVersion="10" ma:contentTypeDescription="Create a new document." ma:contentTypeScope="" ma:versionID="fdab9e5b70012bd4ed6c556c60163f46">
  <xsd:schema xmlns:xsd="http://www.w3.org/2001/XMLSchema" xmlns:xs="http://www.w3.org/2001/XMLSchema" xmlns:p="http://schemas.microsoft.com/office/2006/metadata/properties" xmlns:ns2="f4372792-5176-4f29-a7b6-03fa4f6e148b" xmlns:ns3="515ffecd-67ea-4dab-9ab1-82185fb518c1" targetNamespace="http://schemas.microsoft.com/office/2006/metadata/properties" ma:root="true" ma:fieldsID="bb70e8ec4c365e782c2a36ffe9051f8d" ns2:_="" ns3:_="">
    <xsd:import namespace="f4372792-5176-4f29-a7b6-03fa4f6e148b"/>
    <xsd:import namespace="515ffecd-67ea-4dab-9ab1-82185fb518c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372792-5176-4f29-a7b6-03fa4f6e1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a729bbd-e4ce-4026-8d84-fa5e949ad38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5ffecd-67ea-4dab-9ab1-82185fb518c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33a1c65-65e6-451f-908b-15cb3529ff0e}" ma:internalName="TaxCatchAll" ma:showField="CatchAllData" ma:web="515ffecd-67ea-4dab-9ab1-82185fb518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15ffecd-67ea-4dab-9ab1-82185fb518c1" xsi:nil="true"/>
    <lcf76f155ced4ddcb4097134ff3c332f xmlns="f4372792-5176-4f29-a7b6-03fa4f6e148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3D7ACE3-A105-49DB-82EF-0498ED7D5BB6}"/>
</file>

<file path=customXml/itemProps2.xml><?xml version="1.0" encoding="utf-8"?>
<ds:datastoreItem xmlns:ds="http://schemas.openxmlformats.org/officeDocument/2006/customXml" ds:itemID="{67E5735E-6F43-4383-BBC7-BD135B1E5E21}"/>
</file>

<file path=customXml/itemProps3.xml><?xml version="1.0" encoding="utf-8"?>
<ds:datastoreItem xmlns:ds="http://schemas.openxmlformats.org/officeDocument/2006/customXml" ds:itemID="{739898FD-E6A6-459E-A28A-CBD07F269A5C}"/>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2026-08-23T14:49:20Z</dcterms:created>
  <dcterms:modified xsi:type="dcterms:W3CDTF">2026-08-23T14:49:20Z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0x010100EB4D6A9D30D44A4BA94EE6F699F147E8</vt:lpwstr>
  </property>
</Properties>
</file>